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97" w:rsidRPr="00A51B38" w:rsidRDefault="00DC5E97" w:rsidP="00DC5E9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bookmarkStart w:id="0" w:name="_Toc463430566"/>
      <w:bookmarkStart w:id="1" w:name="_Toc463436449"/>
      <w:bookmarkStart w:id="2" w:name="_Toc463438264"/>
      <w:bookmarkStart w:id="3" w:name="_Toc463438879"/>
      <w:r w:rsidRPr="00A51B38">
        <w:rPr>
          <w:rFonts w:ascii="Calibri" w:hAnsi="Calibri"/>
          <w:b/>
          <w:sz w:val="32"/>
          <w:szCs w:val="32"/>
        </w:rPr>
        <w:t>Informace o vrácení jistoty při podání nabídky</w:t>
      </w:r>
      <w:bookmarkEnd w:id="0"/>
      <w:bookmarkEnd w:id="1"/>
      <w:bookmarkEnd w:id="2"/>
      <w:bookmarkEnd w:id="3"/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C5E97" w:rsidRPr="00741303" w:rsidTr="004F1B40">
        <w:trPr>
          <w:trHeight w:val="340"/>
        </w:trPr>
        <w:tc>
          <w:tcPr>
            <w:tcW w:w="2977" w:type="dxa"/>
            <w:vAlign w:val="center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  <w:rPr>
                <w:b/>
                <w:bCs/>
              </w:rPr>
            </w:pPr>
            <w:r w:rsidRPr="006D0E56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DC5E97" w:rsidRDefault="00DC5E97" w:rsidP="004F1B40">
            <w:pPr>
              <w:pStyle w:val="Bezmezer"/>
              <w:jc w:val="center"/>
              <w:rPr>
                <w:sz w:val="28"/>
                <w:szCs w:val="28"/>
              </w:rPr>
            </w:pPr>
          </w:p>
          <w:p w:rsidR="00DC5E97" w:rsidRPr="006D0E56" w:rsidRDefault="009378A1" w:rsidP="004F1B40">
            <w:pPr>
              <w:pStyle w:val="Bezmezer"/>
              <w:jc w:val="center"/>
              <w:rPr>
                <w:b/>
                <w:lang w:eastAsia="en-US"/>
              </w:rPr>
            </w:pPr>
            <w:r w:rsidRPr="009378A1">
              <w:rPr>
                <w:b/>
                <w:sz w:val="22"/>
              </w:rPr>
              <w:t>Dodávky elektrické energie a zemního plynu pro městskou část Praha 14 a její příspěvkové organizace a Správu majetku Prahy 14, a.s.</w:t>
            </w:r>
          </w:p>
        </w:tc>
      </w:tr>
    </w:tbl>
    <w:p w:rsidR="00DC5E97" w:rsidRPr="006E544A" w:rsidRDefault="00DC5E97" w:rsidP="00DC5E97">
      <w:pPr>
        <w:pStyle w:val="Styl2"/>
        <w:spacing w:before="0" w:after="0"/>
        <w:ind w:left="0" w:firstLine="0"/>
        <w:rPr>
          <w:lang w:eastAsia="en-US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7"/>
        <w:gridCol w:w="3236"/>
        <w:gridCol w:w="2789"/>
      </w:tblGrid>
      <w:tr w:rsidR="00DC5E97" w:rsidRPr="00330054" w:rsidTr="004F1B40">
        <w:trPr>
          <w:trHeight w:val="340"/>
        </w:trPr>
        <w:tc>
          <w:tcPr>
            <w:tcW w:w="2977" w:type="dxa"/>
            <w:vAlign w:val="center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  <w:rPr>
                <w:b/>
              </w:rPr>
            </w:pPr>
            <w:r w:rsidRPr="006D0E56">
              <w:rPr>
                <w:b/>
              </w:rPr>
              <w:t>Název účastníka</w:t>
            </w:r>
          </w:p>
        </w:tc>
        <w:tc>
          <w:tcPr>
            <w:tcW w:w="6095" w:type="dxa"/>
            <w:gridSpan w:val="2"/>
            <w:vAlign w:val="center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  <w:rPr>
                <w:b/>
              </w:rPr>
            </w:pPr>
            <w:r w:rsidRPr="006D0E56">
              <w:rPr>
                <w:rFonts w:cs="Calibri"/>
                <w:highlight w:val="yellow"/>
              </w:rPr>
              <w:t>bude doplněno</w:t>
            </w:r>
          </w:p>
        </w:tc>
      </w:tr>
      <w:tr w:rsidR="00DC5E97" w:rsidRPr="00330054" w:rsidTr="004F1B40">
        <w:trPr>
          <w:trHeight w:val="340"/>
        </w:trPr>
        <w:tc>
          <w:tcPr>
            <w:tcW w:w="2977" w:type="dxa"/>
            <w:vAlign w:val="center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</w:pPr>
            <w:r w:rsidRPr="006D0E56">
              <w:t>Sídlo</w:t>
            </w:r>
          </w:p>
        </w:tc>
        <w:tc>
          <w:tcPr>
            <w:tcW w:w="6095" w:type="dxa"/>
            <w:gridSpan w:val="2"/>
            <w:vAlign w:val="center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</w:pPr>
            <w:r w:rsidRPr="006D0E56">
              <w:rPr>
                <w:rFonts w:cs="Calibri"/>
                <w:highlight w:val="yellow"/>
              </w:rPr>
              <w:t>bude doplněno</w:t>
            </w:r>
          </w:p>
        </w:tc>
      </w:tr>
      <w:tr w:rsidR="00DC5E97" w:rsidRPr="00330054" w:rsidTr="004F1B40">
        <w:trPr>
          <w:trHeight w:val="340"/>
        </w:trPr>
        <w:tc>
          <w:tcPr>
            <w:tcW w:w="2977" w:type="dxa"/>
            <w:vAlign w:val="center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</w:pPr>
            <w:r w:rsidRPr="006D0E56">
              <w:t>IČ/DIČ</w:t>
            </w:r>
          </w:p>
        </w:tc>
        <w:tc>
          <w:tcPr>
            <w:tcW w:w="3260" w:type="dxa"/>
            <w:vAlign w:val="center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</w:pPr>
            <w:r w:rsidRPr="006D0E56">
              <w:rPr>
                <w:rFonts w:cs="Calibri"/>
                <w:highlight w:val="yellow"/>
              </w:rPr>
              <w:t>bude doplněno</w:t>
            </w:r>
          </w:p>
        </w:tc>
        <w:tc>
          <w:tcPr>
            <w:tcW w:w="2835" w:type="dxa"/>
            <w:vAlign w:val="center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</w:pPr>
          </w:p>
        </w:tc>
      </w:tr>
    </w:tbl>
    <w:p w:rsidR="00DC5E97" w:rsidRDefault="00DC5E97" w:rsidP="00DC5E9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037"/>
      </w:tblGrid>
      <w:tr w:rsidR="00DC5E97" w:rsidRPr="00330054" w:rsidTr="004F1B40">
        <w:trPr>
          <w:trHeight w:val="340"/>
        </w:trPr>
        <w:tc>
          <w:tcPr>
            <w:tcW w:w="2943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  <w:rPr>
                <w:rFonts w:eastAsia="Calibri"/>
                <w:b/>
              </w:rPr>
            </w:pPr>
            <w:r w:rsidRPr="006D0E56">
              <w:rPr>
                <w:rFonts w:eastAsia="Calibri"/>
                <w:b/>
              </w:rPr>
              <w:t>Bankovní spojení</w:t>
            </w:r>
          </w:p>
        </w:tc>
        <w:tc>
          <w:tcPr>
            <w:tcW w:w="612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  <w:rPr>
                <w:rFonts w:eastAsia="Calibri"/>
                <w:b/>
              </w:rPr>
            </w:pPr>
            <w:r w:rsidRPr="006D0E56">
              <w:rPr>
                <w:rFonts w:eastAsia="Calibri" w:cs="Calibri"/>
                <w:highlight w:val="yellow"/>
              </w:rPr>
              <w:t>bude doplněno</w:t>
            </w:r>
          </w:p>
        </w:tc>
      </w:tr>
      <w:tr w:rsidR="00DC5E97" w:rsidRPr="00330054" w:rsidTr="004F1B40">
        <w:trPr>
          <w:trHeight w:val="340"/>
        </w:trPr>
        <w:tc>
          <w:tcPr>
            <w:tcW w:w="2943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0" w:firstLine="0"/>
              <w:rPr>
                <w:rFonts w:eastAsia="Calibri"/>
              </w:rPr>
            </w:pPr>
            <w:r w:rsidRPr="006D0E56">
              <w:rPr>
                <w:rFonts w:eastAsia="Calibri"/>
              </w:rPr>
              <w:t>Číslo účtu</w:t>
            </w:r>
          </w:p>
        </w:tc>
        <w:tc>
          <w:tcPr>
            <w:tcW w:w="612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  <w:rPr>
                <w:rFonts w:eastAsia="Calibri"/>
              </w:rPr>
            </w:pPr>
            <w:r w:rsidRPr="006D0E56">
              <w:rPr>
                <w:rFonts w:eastAsia="Calibri" w:cs="Calibri"/>
                <w:highlight w:val="yellow"/>
              </w:rPr>
              <w:t>bude doplněno</w:t>
            </w:r>
          </w:p>
        </w:tc>
      </w:tr>
      <w:tr w:rsidR="00DC5E97" w:rsidRPr="00330054" w:rsidTr="004F1B40">
        <w:trPr>
          <w:trHeight w:val="340"/>
        </w:trPr>
        <w:tc>
          <w:tcPr>
            <w:tcW w:w="2943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  <w:rPr>
                <w:rFonts w:eastAsia="Calibri"/>
              </w:rPr>
            </w:pPr>
            <w:r w:rsidRPr="006D0E56">
              <w:rPr>
                <w:rFonts w:eastAsia="Calibri"/>
              </w:rPr>
              <w:t>Variabilní symbol</w:t>
            </w:r>
          </w:p>
        </w:tc>
        <w:tc>
          <w:tcPr>
            <w:tcW w:w="612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DC5E97" w:rsidRPr="006D0E56" w:rsidRDefault="00DC5E97" w:rsidP="004F1B40">
            <w:pPr>
              <w:pStyle w:val="Styl2"/>
              <w:spacing w:before="0" w:after="0" w:line="240" w:lineRule="auto"/>
              <w:ind w:left="851" w:hanging="851"/>
              <w:rPr>
                <w:rFonts w:eastAsia="Calibri"/>
              </w:rPr>
            </w:pPr>
            <w:r w:rsidRPr="006D0E56">
              <w:rPr>
                <w:rFonts w:eastAsia="Calibri" w:cs="Calibri"/>
                <w:highlight w:val="yellow"/>
              </w:rPr>
              <w:t>bude doplněno</w:t>
            </w:r>
          </w:p>
        </w:tc>
      </w:tr>
    </w:tbl>
    <w:p w:rsidR="00DC5E97" w:rsidRDefault="00DC5E97" w:rsidP="00DC5E97">
      <w:pPr>
        <w:suppressAutoHyphens/>
        <w:ind w:right="-2"/>
        <w:jc w:val="both"/>
        <w:outlineLvl w:val="7"/>
        <w:rPr>
          <w:lang w:eastAsia="ar-SA"/>
        </w:rPr>
      </w:pPr>
    </w:p>
    <w:p w:rsidR="00DC5E97" w:rsidRDefault="00DC5E97" w:rsidP="00DC5E97">
      <w:pPr>
        <w:suppressAutoHyphens/>
        <w:ind w:right="-2"/>
        <w:jc w:val="both"/>
        <w:outlineLvl w:val="7"/>
        <w:rPr>
          <w:lang w:eastAsia="ar-SA"/>
        </w:rPr>
      </w:pPr>
    </w:p>
    <w:p w:rsidR="00DC5E97" w:rsidRDefault="00DC5E97" w:rsidP="00DC5E97">
      <w:pPr>
        <w:suppressAutoHyphens/>
        <w:ind w:right="-2"/>
        <w:jc w:val="both"/>
        <w:outlineLvl w:val="7"/>
        <w:rPr>
          <w:lang w:eastAsia="ar-SA"/>
        </w:rPr>
      </w:pPr>
    </w:p>
    <w:p w:rsidR="00DC5E97" w:rsidRPr="00134324" w:rsidRDefault="00DC5E97" w:rsidP="00DC5E97">
      <w:pPr>
        <w:suppressAutoHyphens/>
        <w:ind w:right="-2"/>
        <w:jc w:val="both"/>
        <w:outlineLvl w:val="7"/>
        <w:rPr>
          <w:rFonts w:asciiTheme="minorHAnsi" w:hAnsiTheme="minorHAnsi"/>
          <w:sz w:val="22"/>
          <w:szCs w:val="22"/>
          <w:lang w:eastAsia="ar-SA"/>
        </w:rPr>
      </w:pPr>
    </w:p>
    <w:p w:rsidR="00DC5E97" w:rsidRPr="00134324" w:rsidRDefault="00DC5E97" w:rsidP="00DC5E97">
      <w:pPr>
        <w:suppressAutoHyphens/>
        <w:ind w:right="-2"/>
        <w:jc w:val="both"/>
        <w:outlineLvl w:val="7"/>
        <w:rPr>
          <w:rFonts w:asciiTheme="minorHAnsi" w:hAnsiTheme="minorHAnsi"/>
          <w:sz w:val="22"/>
          <w:szCs w:val="22"/>
          <w:lang w:eastAsia="ar-SA"/>
        </w:rPr>
      </w:pPr>
      <w:r w:rsidRPr="00134324">
        <w:rPr>
          <w:rFonts w:asciiTheme="minorHAnsi" w:hAnsiTheme="minorHAnsi"/>
          <w:sz w:val="22"/>
          <w:szCs w:val="22"/>
          <w:lang w:eastAsia="ar-SA"/>
        </w:rPr>
        <w:t>V</w:t>
      </w:r>
      <w:r w:rsidRPr="00134324">
        <w:rPr>
          <w:rFonts w:asciiTheme="minorHAnsi" w:hAnsiTheme="minorHAnsi" w:cs="Calibri"/>
          <w:sz w:val="22"/>
          <w:szCs w:val="22"/>
          <w:highlight w:val="yellow"/>
        </w:rPr>
        <w:t xml:space="preserve"> bude doplněno</w:t>
      </w:r>
      <w:r w:rsidRPr="00134324">
        <w:rPr>
          <w:rFonts w:asciiTheme="minorHAnsi" w:hAnsiTheme="minorHAnsi" w:cs="Calibri"/>
          <w:sz w:val="22"/>
          <w:szCs w:val="22"/>
        </w:rPr>
        <w:t xml:space="preserve"> dne </w:t>
      </w:r>
      <w:r w:rsidRPr="00134324">
        <w:rPr>
          <w:rFonts w:asciiTheme="minorHAnsi" w:hAnsiTheme="minorHAnsi" w:cs="Calibri"/>
          <w:sz w:val="22"/>
          <w:szCs w:val="22"/>
          <w:highlight w:val="yellow"/>
        </w:rPr>
        <w:t>bude doplněno</w:t>
      </w:r>
    </w:p>
    <w:p w:rsidR="00DC5E97" w:rsidRPr="00134324" w:rsidRDefault="00DC5E97" w:rsidP="00DC5E97">
      <w:pPr>
        <w:suppressAutoHyphens/>
        <w:ind w:right="-2"/>
        <w:jc w:val="both"/>
        <w:outlineLvl w:val="7"/>
        <w:rPr>
          <w:rFonts w:asciiTheme="minorHAnsi" w:hAnsiTheme="minorHAnsi"/>
          <w:sz w:val="22"/>
          <w:szCs w:val="22"/>
          <w:lang w:eastAsia="ar-SA"/>
        </w:rPr>
      </w:pPr>
    </w:p>
    <w:p w:rsidR="00DC5E97" w:rsidRPr="00134324" w:rsidRDefault="00DC5E97" w:rsidP="00DC5E97">
      <w:pPr>
        <w:suppressAutoHyphens/>
        <w:ind w:right="-2"/>
        <w:jc w:val="both"/>
        <w:outlineLvl w:val="7"/>
        <w:rPr>
          <w:rFonts w:asciiTheme="minorHAnsi" w:hAnsiTheme="minorHAnsi"/>
          <w:sz w:val="22"/>
          <w:szCs w:val="22"/>
          <w:lang w:eastAsia="ar-SA"/>
        </w:rPr>
      </w:pPr>
    </w:p>
    <w:p w:rsidR="00DC5E97" w:rsidRPr="00134324" w:rsidRDefault="00DC5E97" w:rsidP="00DC5E97">
      <w:pPr>
        <w:suppressAutoHyphens/>
        <w:ind w:right="-2"/>
        <w:jc w:val="both"/>
        <w:outlineLvl w:val="7"/>
        <w:rPr>
          <w:rFonts w:asciiTheme="minorHAnsi" w:hAnsiTheme="minorHAnsi"/>
          <w:sz w:val="22"/>
          <w:szCs w:val="22"/>
          <w:lang w:eastAsia="ar-SA"/>
        </w:rPr>
      </w:pPr>
    </w:p>
    <w:p w:rsidR="00DC5E97" w:rsidRPr="00134324" w:rsidRDefault="00DC5E97" w:rsidP="00DC5E97">
      <w:pPr>
        <w:suppressAutoHyphens/>
        <w:ind w:right="-2"/>
        <w:jc w:val="both"/>
        <w:outlineLvl w:val="7"/>
        <w:rPr>
          <w:rFonts w:asciiTheme="minorHAnsi" w:hAnsiTheme="minorHAnsi"/>
          <w:sz w:val="22"/>
          <w:szCs w:val="22"/>
          <w:lang w:eastAsia="ar-SA"/>
        </w:rPr>
      </w:pPr>
    </w:p>
    <w:p w:rsidR="00DC5E97" w:rsidRPr="00134324" w:rsidRDefault="00DC5E97" w:rsidP="00DC5E97">
      <w:pPr>
        <w:suppressAutoHyphens/>
        <w:ind w:right="-2"/>
        <w:jc w:val="right"/>
        <w:outlineLvl w:val="7"/>
        <w:rPr>
          <w:rFonts w:asciiTheme="minorHAnsi" w:hAnsiTheme="minorHAnsi"/>
          <w:sz w:val="22"/>
          <w:szCs w:val="22"/>
          <w:lang w:eastAsia="ar-SA"/>
        </w:rPr>
      </w:pPr>
    </w:p>
    <w:p w:rsidR="00DC5E97" w:rsidRPr="00134324" w:rsidRDefault="00DC5E97" w:rsidP="00DC5E97">
      <w:pPr>
        <w:suppressAutoHyphens/>
        <w:ind w:right="-2"/>
        <w:jc w:val="right"/>
        <w:outlineLvl w:val="7"/>
        <w:rPr>
          <w:rFonts w:asciiTheme="minorHAnsi" w:hAnsiTheme="minorHAnsi"/>
          <w:sz w:val="22"/>
          <w:szCs w:val="22"/>
          <w:lang w:eastAsia="ar-SA"/>
        </w:rPr>
      </w:pPr>
      <w:r w:rsidRPr="00134324">
        <w:rPr>
          <w:rFonts w:asciiTheme="minorHAnsi" w:hAnsiTheme="minorHAnsi" w:cs="Calibri"/>
          <w:sz w:val="22"/>
          <w:szCs w:val="22"/>
        </w:rPr>
        <w:t>……………………………</w:t>
      </w:r>
    </w:p>
    <w:p w:rsidR="00DC5E97" w:rsidRPr="00134324" w:rsidRDefault="00DC5E97" w:rsidP="00DC5E97">
      <w:pPr>
        <w:suppressAutoHyphens/>
        <w:ind w:right="-2"/>
        <w:jc w:val="right"/>
        <w:outlineLvl w:val="7"/>
        <w:rPr>
          <w:rFonts w:asciiTheme="minorHAnsi" w:hAnsiTheme="minorHAnsi"/>
          <w:sz w:val="22"/>
          <w:szCs w:val="22"/>
          <w:lang w:eastAsia="ar-SA"/>
        </w:rPr>
      </w:pPr>
      <w:r w:rsidRPr="00134324">
        <w:rPr>
          <w:rFonts w:asciiTheme="minorHAnsi" w:hAnsiTheme="minorHAnsi"/>
          <w:sz w:val="22"/>
          <w:szCs w:val="22"/>
          <w:lang w:eastAsia="ar-SA"/>
        </w:rPr>
        <w:t>jméno, funkce</w:t>
      </w:r>
    </w:p>
    <w:p w:rsidR="00DC5E97" w:rsidRPr="00134324" w:rsidRDefault="00DC5E97" w:rsidP="00DC5E97">
      <w:pPr>
        <w:suppressAutoHyphens/>
        <w:ind w:right="-2"/>
        <w:jc w:val="right"/>
        <w:outlineLvl w:val="7"/>
        <w:rPr>
          <w:rFonts w:asciiTheme="minorHAnsi" w:hAnsiTheme="minorHAnsi"/>
          <w:sz w:val="22"/>
          <w:szCs w:val="22"/>
          <w:lang w:eastAsia="ar-SA"/>
        </w:rPr>
      </w:pPr>
      <w:r w:rsidRPr="00134324">
        <w:rPr>
          <w:rFonts w:asciiTheme="minorHAnsi" w:hAnsiTheme="minorHAnsi"/>
          <w:sz w:val="22"/>
          <w:szCs w:val="22"/>
          <w:lang w:eastAsia="ar-SA"/>
        </w:rPr>
        <w:t>podpis osoby oprávněné jednat jménem či za účastníka</w:t>
      </w:r>
    </w:p>
    <w:p w:rsidR="00DC5E97" w:rsidRPr="00134324" w:rsidRDefault="00DC5E97" w:rsidP="00DC5E97">
      <w:pPr>
        <w:widowControl w:val="0"/>
        <w:suppressAutoHyphens/>
        <w:jc w:val="right"/>
        <w:rPr>
          <w:rFonts w:asciiTheme="minorHAnsi" w:hAnsiTheme="minorHAnsi"/>
          <w:sz w:val="22"/>
          <w:szCs w:val="22"/>
        </w:rPr>
      </w:pPr>
    </w:p>
    <w:p w:rsidR="009B6387" w:rsidRPr="00134324" w:rsidRDefault="009B6387" w:rsidP="00DC5E97">
      <w:pPr>
        <w:jc w:val="right"/>
        <w:rPr>
          <w:rFonts w:asciiTheme="minorHAnsi" w:hAnsiTheme="minorHAnsi"/>
          <w:sz w:val="22"/>
          <w:szCs w:val="22"/>
        </w:rPr>
      </w:pPr>
    </w:p>
    <w:sectPr w:rsidR="009B6387" w:rsidRPr="00134324" w:rsidSect="009B6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E78" w:rsidRDefault="00616E78" w:rsidP="00DC5E97">
      <w:r>
        <w:separator/>
      </w:r>
    </w:p>
  </w:endnote>
  <w:endnote w:type="continuationSeparator" w:id="0">
    <w:p w:rsidR="00616E78" w:rsidRDefault="00616E78" w:rsidP="00DC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A1" w:rsidRDefault="009378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A1" w:rsidRDefault="009378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A1" w:rsidRDefault="00937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E78" w:rsidRDefault="00616E78" w:rsidP="00DC5E97">
      <w:r>
        <w:separator/>
      </w:r>
    </w:p>
  </w:footnote>
  <w:footnote w:type="continuationSeparator" w:id="0">
    <w:p w:rsidR="00616E78" w:rsidRDefault="00616E78" w:rsidP="00DC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A1" w:rsidRDefault="009378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E97" w:rsidRPr="00DC5E97" w:rsidRDefault="00DC5E97">
    <w:pPr>
      <w:pStyle w:val="Zhlav"/>
      <w:rPr>
        <w:rFonts w:asciiTheme="minorHAnsi" w:hAnsiTheme="minorHAnsi"/>
        <w:sz w:val="22"/>
        <w:szCs w:val="22"/>
      </w:rPr>
    </w:pPr>
    <w:r w:rsidRPr="00DC5E97">
      <w:rPr>
        <w:rFonts w:asciiTheme="minorHAnsi" w:hAnsiTheme="minorHAnsi"/>
        <w:sz w:val="22"/>
        <w:szCs w:val="22"/>
      </w:rPr>
      <w:t xml:space="preserve">Příloha č. </w:t>
    </w:r>
    <w:r w:rsidR="009378A1">
      <w:rPr>
        <w:rFonts w:asciiTheme="minorHAnsi" w:hAnsiTheme="minorHAnsi"/>
        <w:sz w:val="22"/>
        <w:szCs w:val="22"/>
      </w:rPr>
      <w:t>8</w:t>
    </w:r>
    <w:bookmarkStart w:id="4" w:name="_GoBack"/>
    <w:bookmarkEnd w:id="4"/>
    <w:r w:rsidRPr="00DC5E97">
      <w:rPr>
        <w:rFonts w:asciiTheme="minorHAnsi" w:hAnsiTheme="minorHAnsi"/>
        <w:sz w:val="22"/>
        <w:szCs w:val="22"/>
      </w:rPr>
      <w:t xml:space="preserve"> Zadávací dokumentace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A1" w:rsidRDefault="009378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97"/>
    <w:rsid w:val="00134324"/>
    <w:rsid w:val="001F7CF2"/>
    <w:rsid w:val="002E7BA4"/>
    <w:rsid w:val="00616E78"/>
    <w:rsid w:val="006C3DB6"/>
    <w:rsid w:val="007B6EB4"/>
    <w:rsid w:val="009378A1"/>
    <w:rsid w:val="009B6387"/>
    <w:rsid w:val="00A47C5F"/>
    <w:rsid w:val="00D742A3"/>
    <w:rsid w:val="00D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0926"/>
  <w15:docId w15:val="{FBAA1C56-215C-461E-9332-8E4758C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link w:val="Styl2Char"/>
    <w:uiPriority w:val="99"/>
    <w:qFormat/>
    <w:rsid w:val="00DC5E97"/>
    <w:pPr>
      <w:spacing w:before="120" w:after="120" w:line="276" w:lineRule="auto"/>
      <w:ind w:left="1224" w:hanging="504"/>
      <w:jc w:val="both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uiPriority w:val="99"/>
    <w:locked/>
    <w:rsid w:val="00DC5E97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5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5E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5E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E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DC5E97"/>
    <w:pPr>
      <w:suppressAutoHyphens/>
      <w:autoSpaceDN w:val="0"/>
      <w:spacing w:after="0" w:line="240" w:lineRule="auto"/>
    </w:pPr>
    <w:rPr>
      <w:rFonts w:ascii="Arial" w:eastAsia="Times New Roman" w:hAnsi="Arial" w:cs="Times New Roman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Jirásková</dc:creator>
  <cp:lastModifiedBy>JUDr. Tatiana Jirásková</cp:lastModifiedBy>
  <cp:revision>2</cp:revision>
  <dcterms:created xsi:type="dcterms:W3CDTF">2019-09-03T19:37:00Z</dcterms:created>
  <dcterms:modified xsi:type="dcterms:W3CDTF">2019-09-03T19:37:00Z</dcterms:modified>
</cp:coreProperties>
</file>