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046B" w14:textId="3293F591" w:rsidR="00D44179" w:rsidRPr="00BE2B19" w:rsidRDefault="00D44179" w:rsidP="0030626A">
      <w:pPr>
        <w:pStyle w:val="NadpisZD"/>
        <w:spacing w:before="0" w:after="240"/>
      </w:pPr>
      <w:bookmarkStart w:id="0" w:name="_Toc360914523"/>
      <w:bookmarkStart w:id="1" w:name="_Hlk48290388"/>
      <w:r>
        <w:t>Kupní smlouva</w:t>
      </w:r>
    </w:p>
    <w:p w14:paraId="5F19D144" w14:textId="39142D4D" w:rsidR="00D44179" w:rsidRDefault="0030626A" w:rsidP="00D44179">
      <w:pPr>
        <w:pStyle w:val="Obyejn"/>
        <w:spacing w:after="120"/>
        <w:jc w:val="center"/>
        <w:rPr>
          <w:b/>
          <w:smallCaps/>
          <w:sz w:val="40"/>
          <w:szCs w:val="40"/>
        </w:rPr>
      </w:pPr>
      <w:bookmarkStart w:id="2" w:name="_Hlk49504332"/>
      <w:r w:rsidRPr="0030626A">
        <w:rPr>
          <w:b/>
          <w:smallCaps/>
          <w:sz w:val="40"/>
          <w:szCs w:val="40"/>
        </w:rPr>
        <w:t>Vybudování odborných učeben na základních školách</w:t>
      </w:r>
      <w:bookmarkEnd w:id="2"/>
      <w:r w:rsidR="00613A20">
        <w:rPr>
          <w:b/>
          <w:smallCaps/>
          <w:sz w:val="40"/>
          <w:szCs w:val="40"/>
        </w:rPr>
        <w:t xml:space="preserve"> – opakované řízení</w:t>
      </w:r>
    </w:p>
    <w:p w14:paraId="2D00FE17" w14:textId="09F8EB14" w:rsidR="0030626A" w:rsidRPr="00FA2E4D" w:rsidRDefault="0030626A" w:rsidP="00D44179">
      <w:pPr>
        <w:pStyle w:val="Obyejn"/>
        <w:spacing w:after="120"/>
        <w:jc w:val="center"/>
        <w:rPr>
          <w:b/>
          <w:smallCaps/>
          <w:sz w:val="40"/>
          <w:szCs w:val="40"/>
        </w:rPr>
      </w:pPr>
      <w:r w:rsidRPr="0030626A">
        <w:rPr>
          <w:b/>
          <w:smallCaps/>
          <w:sz w:val="36"/>
          <w:szCs w:val="36"/>
        </w:rPr>
        <w:t>Část 1 – IT vybavení</w:t>
      </w:r>
    </w:p>
    <w:p w14:paraId="2CE01206" w14:textId="77777777" w:rsidR="006C5078" w:rsidRDefault="006C5078" w:rsidP="00A71CC6">
      <w:pPr>
        <w:pStyle w:val="Vycentrovan"/>
      </w:pPr>
      <w:bookmarkStart w:id="3" w:name="_Hlk48342945"/>
    </w:p>
    <w:p w14:paraId="0854B840" w14:textId="2EF71295" w:rsidR="00D44179" w:rsidRDefault="00A71CC6" w:rsidP="00A71CC6">
      <w:pPr>
        <w:pStyle w:val="Vycentrovan"/>
      </w:pPr>
      <w:r w:rsidRPr="00BE2B19">
        <w:t xml:space="preserve">uzavřená dle § </w:t>
      </w:r>
      <w:r>
        <w:t>2079</w:t>
      </w:r>
      <w:r w:rsidRPr="00BE2B19">
        <w:t xml:space="preserve"> a násl. </w:t>
      </w:r>
      <w:r w:rsidR="006C5078" w:rsidRPr="00754A93">
        <w:t>zákona č. 89/2012 Sb., občanský zákoník, ve znění pozdějších předpisů (dále jen „občanský zákoník“)</w:t>
      </w:r>
      <w:r w:rsidR="00D44179" w:rsidRPr="00DB162D">
        <w:t>:</w:t>
      </w:r>
    </w:p>
    <w:bookmarkEnd w:id="3"/>
    <w:p w14:paraId="788B83C9" w14:textId="77777777" w:rsidR="006C5078" w:rsidRPr="00754A93" w:rsidRDefault="006C5078" w:rsidP="006C5078">
      <w:pPr>
        <w:pStyle w:val="Vycentrovan"/>
        <w:jc w:val="left"/>
        <w:rPr>
          <w:rFonts w:cs="Times New Roman"/>
        </w:rPr>
      </w:pPr>
    </w:p>
    <w:p w14:paraId="1B4BB699" w14:textId="77777777" w:rsidR="006C5078" w:rsidRPr="00754A93" w:rsidRDefault="006C5078" w:rsidP="006C5078">
      <w:pPr>
        <w:pStyle w:val="Obyejn"/>
      </w:pPr>
      <w:r w:rsidRPr="00754A93">
        <w:t>mezi:</w:t>
      </w:r>
    </w:p>
    <w:p w14:paraId="42A8D9BB" w14:textId="77777777" w:rsidR="006C5078" w:rsidRPr="00754A93" w:rsidRDefault="006C5078" w:rsidP="006C5078">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3"/>
        <w:gridCol w:w="6639"/>
      </w:tblGrid>
      <w:tr w:rsidR="00D44179" w:rsidRPr="00754A93" w14:paraId="6844CA87" w14:textId="77777777" w:rsidTr="00156BD6">
        <w:trPr>
          <w:trHeight w:val="284"/>
        </w:trPr>
        <w:tc>
          <w:tcPr>
            <w:tcW w:w="2403" w:type="dxa"/>
            <w:vAlign w:val="center"/>
          </w:tcPr>
          <w:p w14:paraId="352D128B" w14:textId="77777777" w:rsidR="00D44179" w:rsidRPr="00754A93" w:rsidRDefault="00D44179" w:rsidP="00156BD6">
            <w:pPr>
              <w:pStyle w:val="Obyejn"/>
              <w:ind w:left="-108"/>
              <w:rPr>
                <w:b/>
                <w:bCs/>
              </w:rPr>
            </w:pPr>
            <w:r w:rsidRPr="00754A93">
              <w:rPr>
                <w:b/>
                <w:bCs/>
              </w:rPr>
              <w:t>Název:</w:t>
            </w:r>
          </w:p>
        </w:tc>
        <w:tc>
          <w:tcPr>
            <w:tcW w:w="6639" w:type="dxa"/>
            <w:vAlign w:val="center"/>
          </w:tcPr>
          <w:p w14:paraId="1D2D272E" w14:textId="77777777" w:rsidR="00D44179" w:rsidRPr="006A1F82" w:rsidRDefault="00D44179" w:rsidP="00156BD6">
            <w:pPr>
              <w:pStyle w:val="Obyejn"/>
              <w:rPr>
                <w:b/>
              </w:rPr>
            </w:pPr>
            <w:r>
              <w:rPr>
                <w:b/>
                <w:bCs/>
              </w:rPr>
              <w:t>Městská část Praha 14</w:t>
            </w:r>
          </w:p>
        </w:tc>
      </w:tr>
      <w:tr w:rsidR="00D44179" w:rsidRPr="00754A93" w14:paraId="7BC93F68" w14:textId="77777777" w:rsidTr="00156BD6">
        <w:trPr>
          <w:trHeight w:val="284"/>
        </w:trPr>
        <w:tc>
          <w:tcPr>
            <w:tcW w:w="2403" w:type="dxa"/>
            <w:vAlign w:val="center"/>
          </w:tcPr>
          <w:p w14:paraId="321A8D70" w14:textId="77777777" w:rsidR="00D44179" w:rsidRPr="00754A93" w:rsidRDefault="00D44179" w:rsidP="00156BD6">
            <w:pPr>
              <w:pStyle w:val="Obyejn"/>
              <w:ind w:left="-108"/>
            </w:pPr>
            <w:r w:rsidRPr="00754A93">
              <w:t>Sídlo:</w:t>
            </w:r>
          </w:p>
        </w:tc>
        <w:tc>
          <w:tcPr>
            <w:tcW w:w="6639" w:type="dxa"/>
            <w:vAlign w:val="center"/>
          </w:tcPr>
          <w:p w14:paraId="3FB0C6D9" w14:textId="77777777" w:rsidR="00D44179" w:rsidRPr="00E2124F" w:rsidRDefault="00D44179" w:rsidP="00156BD6">
            <w:pPr>
              <w:pStyle w:val="Obyejn"/>
            </w:pPr>
            <w:r>
              <w:t>Bratří Venclíků 1073, 198 21 Praha 9</w:t>
            </w:r>
          </w:p>
        </w:tc>
      </w:tr>
      <w:tr w:rsidR="00D44179" w:rsidRPr="00754A93" w14:paraId="7F058703" w14:textId="77777777" w:rsidTr="00156BD6">
        <w:trPr>
          <w:trHeight w:val="284"/>
        </w:trPr>
        <w:tc>
          <w:tcPr>
            <w:tcW w:w="2403" w:type="dxa"/>
            <w:vAlign w:val="center"/>
          </w:tcPr>
          <w:p w14:paraId="72926B0B" w14:textId="77777777" w:rsidR="00D44179" w:rsidRPr="00754A93" w:rsidRDefault="00D44179" w:rsidP="00156BD6">
            <w:pPr>
              <w:pStyle w:val="Obyejn"/>
              <w:ind w:left="-108"/>
            </w:pPr>
            <w:r w:rsidRPr="00754A93">
              <w:t>IČO:</w:t>
            </w:r>
          </w:p>
        </w:tc>
        <w:tc>
          <w:tcPr>
            <w:tcW w:w="6639" w:type="dxa"/>
            <w:vAlign w:val="center"/>
          </w:tcPr>
          <w:p w14:paraId="76218558" w14:textId="77777777" w:rsidR="00D44179" w:rsidRPr="009A4869" w:rsidRDefault="00D44179" w:rsidP="00156BD6">
            <w:pPr>
              <w:pStyle w:val="Obyejn"/>
            </w:pPr>
            <w:r>
              <w:t>00231312</w:t>
            </w:r>
          </w:p>
        </w:tc>
      </w:tr>
      <w:tr w:rsidR="00D44179" w:rsidRPr="00754A93" w14:paraId="1500DB0A" w14:textId="77777777" w:rsidTr="00156BD6">
        <w:trPr>
          <w:trHeight w:val="284"/>
        </w:trPr>
        <w:tc>
          <w:tcPr>
            <w:tcW w:w="2403" w:type="dxa"/>
            <w:vAlign w:val="center"/>
          </w:tcPr>
          <w:p w14:paraId="12197CA6" w14:textId="77777777" w:rsidR="00D44179" w:rsidRPr="00754A93" w:rsidRDefault="00D44179" w:rsidP="00156BD6">
            <w:pPr>
              <w:pStyle w:val="Obyejn"/>
              <w:ind w:left="-108"/>
            </w:pPr>
            <w:r w:rsidRPr="00754A93">
              <w:t>DIČ:</w:t>
            </w:r>
          </w:p>
        </w:tc>
        <w:tc>
          <w:tcPr>
            <w:tcW w:w="6639" w:type="dxa"/>
            <w:vAlign w:val="center"/>
          </w:tcPr>
          <w:p w14:paraId="76CF97D6" w14:textId="77777777" w:rsidR="00D44179" w:rsidRPr="009A4869" w:rsidRDefault="00D44179" w:rsidP="00156BD6">
            <w:pPr>
              <w:pStyle w:val="Obyejn"/>
            </w:pPr>
            <w:r>
              <w:t>CZ00231312</w:t>
            </w:r>
          </w:p>
        </w:tc>
      </w:tr>
      <w:tr w:rsidR="00D44179" w:rsidRPr="00754A93" w14:paraId="07860BDF" w14:textId="77777777" w:rsidTr="00156BD6">
        <w:trPr>
          <w:trHeight w:val="284"/>
        </w:trPr>
        <w:tc>
          <w:tcPr>
            <w:tcW w:w="2403" w:type="dxa"/>
            <w:vAlign w:val="center"/>
          </w:tcPr>
          <w:p w14:paraId="5CDFD07E" w14:textId="77777777" w:rsidR="00D44179" w:rsidRPr="00754A93" w:rsidRDefault="00D44179" w:rsidP="00156BD6">
            <w:pPr>
              <w:pStyle w:val="Obyejn"/>
              <w:ind w:left="-108"/>
            </w:pPr>
            <w:r w:rsidRPr="00754A93">
              <w:t>Právní forma:</w:t>
            </w:r>
          </w:p>
        </w:tc>
        <w:tc>
          <w:tcPr>
            <w:tcW w:w="6639" w:type="dxa"/>
            <w:vAlign w:val="center"/>
          </w:tcPr>
          <w:p w14:paraId="114E6504" w14:textId="77777777" w:rsidR="00D44179" w:rsidRPr="00754A93" w:rsidRDefault="00D44179" w:rsidP="00156BD6">
            <w:pPr>
              <w:pStyle w:val="Obyejn"/>
              <w:rPr>
                <w:rFonts w:cs="Times New Roman"/>
              </w:rPr>
            </w:pPr>
            <w:r w:rsidRPr="00230675">
              <w:t>801 - Obec nebo městská část hlavního města Prahy</w:t>
            </w:r>
          </w:p>
        </w:tc>
      </w:tr>
      <w:tr w:rsidR="00D44179" w:rsidRPr="00754A93" w14:paraId="02C966F8" w14:textId="77777777" w:rsidTr="00156BD6">
        <w:trPr>
          <w:trHeight w:val="284"/>
        </w:trPr>
        <w:tc>
          <w:tcPr>
            <w:tcW w:w="2403" w:type="dxa"/>
            <w:vAlign w:val="center"/>
          </w:tcPr>
          <w:p w14:paraId="3C820D14" w14:textId="6BB7022F" w:rsidR="00D44179" w:rsidRPr="00754A93" w:rsidRDefault="00D44179" w:rsidP="00156BD6">
            <w:pPr>
              <w:pStyle w:val="Obyejn"/>
              <w:ind w:left="-108"/>
            </w:pPr>
            <w:r w:rsidRPr="00754A93">
              <w:t>Zastoupen</w:t>
            </w:r>
            <w:r w:rsidR="00091708">
              <w:t>a</w:t>
            </w:r>
            <w:r w:rsidRPr="00754A93">
              <w:t>:</w:t>
            </w:r>
          </w:p>
        </w:tc>
        <w:tc>
          <w:tcPr>
            <w:tcW w:w="6639" w:type="dxa"/>
            <w:vAlign w:val="center"/>
          </w:tcPr>
          <w:p w14:paraId="643C9267" w14:textId="77777777" w:rsidR="00D44179" w:rsidRPr="009A4869" w:rsidRDefault="00D44179" w:rsidP="00156BD6">
            <w:pPr>
              <w:pStyle w:val="Obyejn"/>
            </w:pPr>
            <w:r>
              <w:t>Mgr. Radek Vondra, starosta</w:t>
            </w:r>
          </w:p>
        </w:tc>
      </w:tr>
      <w:tr w:rsidR="00D44179" w:rsidRPr="00754A93" w14:paraId="47F3E836" w14:textId="77777777" w:rsidTr="00156BD6">
        <w:trPr>
          <w:trHeight w:val="284"/>
        </w:trPr>
        <w:tc>
          <w:tcPr>
            <w:tcW w:w="2403" w:type="dxa"/>
            <w:vAlign w:val="center"/>
          </w:tcPr>
          <w:p w14:paraId="037FDAA4" w14:textId="77777777" w:rsidR="00D44179" w:rsidRPr="00754A93" w:rsidRDefault="00D44179" w:rsidP="00156BD6">
            <w:pPr>
              <w:pStyle w:val="Obyejn"/>
              <w:ind w:left="-108"/>
            </w:pPr>
            <w:r w:rsidRPr="00754A93">
              <w:t>Bankovní spojení:</w:t>
            </w:r>
          </w:p>
        </w:tc>
        <w:tc>
          <w:tcPr>
            <w:tcW w:w="6639" w:type="dxa"/>
          </w:tcPr>
          <w:p w14:paraId="5AF36EF1" w14:textId="77777777" w:rsidR="00D44179" w:rsidRPr="00754A93" w:rsidRDefault="00D44179" w:rsidP="00156BD6">
            <w:pPr>
              <w:pStyle w:val="Obyejn"/>
            </w:pPr>
            <w:r w:rsidRPr="00086C16">
              <w:t>[</w:t>
            </w:r>
            <w:r w:rsidRPr="00086C16">
              <w:rPr>
                <w:highlight w:val="lightGray"/>
              </w:rPr>
              <w:t>bude doplněno před uzavřením smlouvy</w:t>
            </w:r>
            <w:r w:rsidRPr="00086C16">
              <w:t>]</w:t>
            </w:r>
          </w:p>
        </w:tc>
      </w:tr>
      <w:tr w:rsidR="00D44179" w:rsidRPr="00754A93" w14:paraId="4B7D6ED4" w14:textId="77777777" w:rsidTr="00156BD6">
        <w:trPr>
          <w:trHeight w:val="284"/>
        </w:trPr>
        <w:tc>
          <w:tcPr>
            <w:tcW w:w="2403" w:type="dxa"/>
            <w:vAlign w:val="center"/>
          </w:tcPr>
          <w:p w14:paraId="732033E9" w14:textId="77777777" w:rsidR="00D44179" w:rsidRPr="00754A93" w:rsidRDefault="00D44179" w:rsidP="00156BD6">
            <w:pPr>
              <w:pStyle w:val="Obyejn"/>
              <w:ind w:left="-108"/>
            </w:pPr>
            <w:r w:rsidRPr="00754A93">
              <w:t>Číslo účtu:</w:t>
            </w:r>
          </w:p>
        </w:tc>
        <w:tc>
          <w:tcPr>
            <w:tcW w:w="6639" w:type="dxa"/>
          </w:tcPr>
          <w:p w14:paraId="357458BF" w14:textId="77777777" w:rsidR="00D44179" w:rsidRPr="00754A93" w:rsidRDefault="00D44179" w:rsidP="00156BD6">
            <w:pPr>
              <w:pStyle w:val="Obyejn"/>
            </w:pPr>
            <w:r w:rsidRPr="00086C16">
              <w:t>[</w:t>
            </w:r>
            <w:r w:rsidRPr="00086C16">
              <w:rPr>
                <w:highlight w:val="lightGray"/>
              </w:rPr>
              <w:t>bude doplněno před uzavřením smlouvy</w:t>
            </w:r>
            <w:r w:rsidRPr="00086C16">
              <w:t>]</w:t>
            </w:r>
          </w:p>
        </w:tc>
      </w:tr>
      <w:tr w:rsidR="00D44179" w:rsidRPr="00754A93" w14:paraId="7159BB3E" w14:textId="77777777" w:rsidTr="00156BD6">
        <w:trPr>
          <w:trHeight w:val="284"/>
        </w:trPr>
        <w:tc>
          <w:tcPr>
            <w:tcW w:w="2403" w:type="dxa"/>
            <w:vAlign w:val="center"/>
          </w:tcPr>
          <w:p w14:paraId="261193E2" w14:textId="77777777" w:rsidR="00D44179" w:rsidRPr="00754A93" w:rsidRDefault="00D44179" w:rsidP="00156BD6">
            <w:pPr>
              <w:pStyle w:val="Obyejn"/>
              <w:ind w:left="-108"/>
            </w:pPr>
            <w:r w:rsidRPr="00754A93">
              <w:t>Osoba oprávněná jednat ve věcech smluvních:</w:t>
            </w:r>
          </w:p>
        </w:tc>
        <w:tc>
          <w:tcPr>
            <w:tcW w:w="6639" w:type="dxa"/>
            <w:vAlign w:val="center"/>
          </w:tcPr>
          <w:p w14:paraId="0B6308EA" w14:textId="77777777" w:rsidR="00D44179" w:rsidRPr="00754A93" w:rsidRDefault="00D44179" w:rsidP="00156BD6">
            <w:pPr>
              <w:pStyle w:val="Obyejn"/>
              <w:rPr>
                <w:rFonts w:cs="Times New Roman"/>
                <w:b/>
                <w:bCs/>
              </w:rPr>
            </w:pPr>
            <w:r w:rsidRPr="00754A93">
              <w:t>[</w:t>
            </w:r>
            <w:r w:rsidRPr="00754A93">
              <w:rPr>
                <w:highlight w:val="lightGray"/>
              </w:rPr>
              <w:t>bude doplněno před uzavřením smlouvy</w:t>
            </w:r>
            <w:r w:rsidRPr="00754A93">
              <w:t>]</w:t>
            </w:r>
          </w:p>
        </w:tc>
      </w:tr>
      <w:tr w:rsidR="00D44179" w:rsidRPr="00754A93" w14:paraId="1F9F11D7" w14:textId="77777777" w:rsidTr="00156BD6">
        <w:trPr>
          <w:trHeight w:val="284"/>
        </w:trPr>
        <w:tc>
          <w:tcPr>
            <w:tcW w:w="2403" w:type="dxa"/>
            <w:vAlign w:val="center"/>
          </w:tcPr>
          <w:p w14:paraId="1A71293F" w14:textId="77777777" w:rsidR="00D44179" w:rsidRPr="00754A93" w:rsidRDefault="00D44179" w:rsidP="00156BD6">
            <w:pPr>
              <w:pStyle w:val="Obyejn"/>
              <w:ind w:left="-108"/>
            </w:pPr>
            <w:r w:rsidRPr="00754A93">
              <w:t>Osoba oprávněná jednat ve věcech technických:</w:t>
            </w:r>
          </w:p>
        </w:tc>
        <w:tc>
          <w:tcPr>
            <w:tcW w:w="6639" w:type="dxa"/>
            <w:vAlign w:val="center"/>
          </w:tcPr>
          <w:p w14:paraId="024802C6" w14:textId="77777777" w:rsidR="00D44179" w:rsidRPr="00754A93" w:rsidRDefault="00D44179" w:rsidP="00156BD6">
            <w:pPr>
              <w:pStyle w:val="Obyejn"/>
              <w:rPr>
                <w:rFonts w:cs="Times New Roman"/>
                <w:b/>
                <w:bCs/>
              </w:rPr>
            </w:pPr>
            <w:r w:rsidRPr="00754A93">
              <w:t>[</w:t>
            </w:r>
            <w:r w:rsidRPr="00754A93">
              <w:rPr>
                <w:highlight w:val="lightGray"/>
              </w:rPr>
              <w:t>bude doplněno před uzavřením smlouvy</w:t>
            </w:r>
            <w:r w:rsidRPr="00754A93">
              <w:t>]</w:t>
            </w:r>
          </w:p>
        </w:tc>
      </w:tr>
    </w:tbl>
    <w:p w14:paraId="347C2985" w14:textId="2B6EB23C" w:rsidR="00D44179" w:rsidRPr="006B53FB" w:rsidRDefault="00D44179" w:rsidP="00D44179">
      <w:pPr>
        <w:pStyle w:val="Obyejn"/>
      </w:pPr>
      <w:r w:rsidRPr="006B53FB">
        <w:t>(„</w:t>
      </w:r>
      <w:r>
        <w:rPr>
          <w:b/>
        </w:rPr>
        <w:t>kupující</w:t>
      </w:r>
      <w:r w:rsidRPr="006B53FB">
        <w:t>“)</w:t>
      </w:r>
    </w:p>
    <w:p w14:paraId="1A519794" w14:textId="77777777" w:rsidR="00D44179" w:rsidRPr="006B53FB" w:rsidRDefault="00D44179" w:rsidP="00D44179">
      <w:pPr>
        <w:pStyle w:val="Obyejn"/>
      </w:pPr>
    </w:p>
    <w:p w14:paraId="4730CE73" w14:textId="77777777" w:rsidR="00D44179" w:rsidRPr="006B53FB" w:rsidRDefault="00D44179" w:rsidP="00D44179">
      <w:pPr>
        <w:pStyle w:val="Obyejn"/>
      </w:pPr>
      <w:r w:rsidRPr="006B53FB">
        <w:t>a</w:t>
      </w:r>
    </w:p>
    <w:p w14:paraId="366CE8C5" w14:textId="77777777" w:rsidR="00D44179" w:rsidRPr="006B53FB" w:rsidRDefault="00D44179" w:rsidP="00D44179">
      <w:pPr>
        <w:pStyle w:val="Obyejn"/>
      </w:pPr>
    </w:p>
    <w:tbl>
      <w:tblPr>
        <w:tblW w:w="0" w:type="auto"/>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316"/>
        <w:gridCol w:w="6655"/>
      </w:tblGrid>
      <w:tr w:rsidR="00D44179" w:rsidRPr="00754A93" w14:paraId="1C475DFC" w14:textId="77777777" w:rsidTr="00156BD6">
        <w:trPr>
          <w:trHeight w:val="284"/>
        </w:trPr>
        <w:tc>
          <w:tcPr>
            <w:tcW w:w="2316" w:type="dxa"/>
            <w:vAlign w:val="center"/>
          </w:tcPr>
          <w:p w14:paraId="0B2AA2FD" w14:textId="77777777" w:rsidR="00D44179" w:rsidRPr="00754A93" w:rsidRDefault="00D44179" w:rsidP="00156BD6">
            <w:pPr>
              <w:pStyle w:val="Obyejn"/>
              <w:ind w:left="-108"/>
              <w:rPr>
                <w:b/>
                <w:bCs/>
              </w:rPr>
            </w:pPr>
            <w:r w:rsidRPr="00754A93">
              <w:rPr>
                <w:b/>
                <w:bCs/>
              </w:rPr>
              <w:t>Název:</w:t>
            </w:r>
          </w:p>
        </w:tc>
        <w:tc>
          <w:tcPr>
            <w:tcW w:w="6655" w:type="dxa"/>
            <w:vAlign w:val="center"/>
          </w:tcPr>
          <w:p w14:paraId="7DBB7A14" w14:textId="77777777" w:rsidR="00D44179" w:rsidRPr="00094674" w:rsidRDefault="00D44179" w:rsidP="00156BD6">
            <w:pPr>
              <w:pStyle w:val="Obyejn"/>
              <w:rPr>
                <w:b/>
              </w:rPr>
            </w:pPr>
            <w:r w:rsidRPr="00094674">
              <w:rPr>
                <w:b/>
              </w:rPr>
              <w:t>[</w:t>
            </w:r>
            <w:r w:rsidRPr="00094674">
              <w:rPr>
                <w:b/>
                <w:highlight w:val="yellow"/>
              </w:rPr>
              <w:t>k</w:t>
            </w:r>
            <w:r w:rsidRPr="00754A93">
              <w:rPr>
                <w:b/>
                <w:bCs/>
                <w:highlight w:val="yellow"/>
              </w:rPr>
              <w:t xml:space="preserve"> doplnění</w:t>
            </w:r>
            <w:r w:rsidRPr="00094674">
              <w:rPr>
                <w:b/>
              </w:rPr>
              <w:t>]</w:t>
            </w:r>
          </w:p>
        </w:tc>
      </w:tr>
      <w:tr w:rsidR="00D44179" w:rsidRPr="00754A93" w14:paraId="6474B8BC" w14:textId="77777777" w:rsidTr="00156BD6">
        <w:trPr>
          <w:trHeight w:val="284"/>
        </w:trPr>
        <w:tc>
          <w:tcPr>
            <w:tcW w:w="2316" w:type="dxa"/>
            <w:vAlign w:val="center"/>
          </w:tcPr>
          <w:p w14:paraId="78ED44D1" w14:textId="77777777" w:rsidR="00D44179" w:rsidRPr="00754A93" w:rsidRDefault="00D44179" w:rsidP="00156BD6">
            <w:pPr>
              <w:pStyle w:val="Obyejn"/>
              <w:ind w:left="-108"/>
            </w:pPr>
            <w:r w:rsidRPr="00754A93">
              <w:t>Sídlo:</w:t>
            </w:r>
          </w:p>
        </w:tc>
        <w:tc>
          <w:tcPr>
            <w:tcW w:w="6655" w:type="dxa"/>
            <w:vAlign w:val="center"/>
          </w:tcPr>
          <w:p w14:paraId="4175EF93" w14:textId="77777777" w:rsidR="00D44179" w:rsidRPr="00754A93" w:rsidRDefault="00D44179" w:rsidP="00156BD6">
            <w:pPr>
              <w:pStyle w:val="Obyejn"/>
              <w:rPr>
                <w:rFonts w:cs="Times New Roman"/>
                <w:b/>
                <w:bCs/>
              </w:rPr>
            </w:pPr>
            <w:r w:rsidRPr="00094674">
              <w:t>[</w:t>
            </w:r>
            <w:r w:rsidRPr="00094674">
              <w:rPr>
                <w:highlight w:val="yellow"/>
              </w:rPr>
              <w:t>k</w:t>
            </w:r>
            <w:r w:rsidRPr="00754A93">
              <w:rPr>
                <w:highlight w:val="yellow"/>
              </w:rPr>
              <w:t xml:space="preserve"> doplnění</w:t>
            </w:r>
            <w:r w:rsidRPr="00094674">
              <w:t>]</w:t>
            </w:r>
          </w:p>
        </w:tc>
      </w:tr>
      <w:tr w:rsidR="00D44179" w:rsidRPr="00754A93" w14:paraId="3641FD0E" w14:textId="77777777" w:rsidTr="00156BD6">
        <w:trPr>
          <w:trHeight w:val="284"/>
        </w:trPr>
        <w:tc>
          <w:tcPr>
            <w:tcW w:w="2316" w:type="dxa"/>
            <w:vAlign w:val="center"/>
          </w:tcPr>
          <w:p w14:paraId="6CDFF86F" w14:textId="77777777" w:rsidR="00D44179" w:rsidRPr="00754A93" w:rsidRDefault="00D44179" w:rsidP="00156BD6">
            <w:pPr>
              <w:pStyle w:val="Obyejn"/>
              <w:ind w:left="-108"/>
            </w:pPr>
            <w:r w:rsidRPr="00754A93">
              <w:t>IČO:</w:t>
            </w:r>
          </w:p>
        </w:tc>
        <w:tc>
          <w:tcPr>
            <w:tcW w:w="6655" w:type="dxa"/>
            <w:vAlign w:val="center"/>
          </w:tcPr>
          <w:p w14:paraId="674AA8FE" w14:textId="77777777" w:rsidR="00D44179" w:rsidRPr="00754A93" w:rsidRDefault="00D44179" w:rsidP="00156BD6">
            <w:pPr>
              <w:pStyle w:val="Obyejn"/>
              <w:rPr>
                <w:rFonts w:cs="Times New Roman"/>
                <w:b/>
                <w:bCs/>
              </w:rPr>
            </w:pPr>
            <w:r w:rsidRPr="00094674">
              <w:t>[</w:t>
            </w:r>
            <w:r w:rsidRPr="00094674">
              <w:rPr>
                <w:highlight w:val="yellow"/>
              </w:rPr>
              <w:t>k</w:t>
            </w:r>
            <w:r w:rsidRPr="00754A93">
              <w:rPr>
                <w:highlight w:val="yellow"/>
              </w:rPr>
              <w:t xml:space="preserve"> doplnění</w:t>
            </w:r>
            <w:r w:rsidRPr="00094674">
              <w:t>]</w:t>
            </w:r>
          </w:p>
        </w:tc>
      </w:tr>
      <w:tr w:rsidR="00D44179" w:rsidRPr="00754A93" w14:paraId="360A5BC5" w14:textId="77777777" w:rsidTr="00156BD6">
        <w:trPr>
          <w:trHeight w:val="284"/>
        </w:trPr>
        <w:tc>
          <w:tcPr>
            <w:tcW w:w="2316" w:type="dxa"/>
            <w:vAlign w:val="center"/>
          </w:tcPr>
          <w:p w14:paraId="1C95C154" w14:textId="77777777" w:rsidR="00D44179" w:rsidRPr="00754A93" w:rsidRDefault="00D44179" w:rsidP="00156BD6">
            <w:pPr>
              <w:pStyle w:val="Obyejn"/>
              <w:ind w:left="-108"/>
            </w:pPr>
            <w:r w:rsidRPr="00754A93">
              <w:t>DIČ:</w:t>
            </w:r>
          </w:p>
        </w:tc>
        <w:tc>
          <w:tcPr>
            <w:tcW w:w="6655" w:type="dxa"/>
            <w:vAlign w:val="center"/>
          </w:tcPr>
          <w:p w14:paraId="382672AE" w14:textId="77777777" w:rsidR="00D44179" w:rsidRPr="00754A93" w:rsidRDefault="00D44179" w:rsidP="00156BD6">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D44179" w:rsidRPr="00754A93" w14:paraId="23E1D3A1" w14:textId="77777777" w:rsidTr="00156BD6">
        <w:trPr>
          <w:trHeight w:val="284"/>
        </w:trPr>
        <w:tc>
          <w:tcPr>
            <w:tcW w:w="2316" w:type="dxa"/>
            <w:vAlign w:val="center"/>
          </w:tcPr>
          <w:p w14:paraId="466F773F" w14:textId="77777777" w:rsidR="00D44179" w:rsidRPr="00754A93" w:rsidRDefault="00D44179" w:rsidP="00156BD6">
            <w:pPr>
              <w:pStyle w:val="Obyejn"/>
              <w:ind w:left="-108"/>
            </w:pPr>
            <w:r w:rsidRPr="00754A93">
              <w:t>Právní forma:</w:t>
            </w:r>
          </w:p>
        </w:tc>
        <w:tc>
          <w:tcPr>
            <w:tcW w:w="6655" w:type="dxa"/>
            <w:vAlign w:val="center"/>
          </w:tcPr>
          <w:p w14:paraId="3D3E8E31" w14:textId="77777777" w:rsidR="00D44179" w:rsidRPr="00754A93" w:rsidRDefault="00D44179" w:rsidP="00156BD6">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D44179" w:rsidRPr="00754A93" w14:paraId="396C623F" w14:textId="77777777" w:rsidTr="00156BD6">
        <w:trPr>
          <w:trHeight w:val="284"/>
        </w:trPr>
        <w:tc>
          <w:tcPr>
            <w:tcW w:w="2316" w:type="dxa"/>
            <w:vAlign w:val="center"/>
          </w:tcPr>
          <w:p w14:paraId="29809B8F" w14:textId="77777777" w:rsidR="00D44179" w:rsidRPr="00754A93" w:rsidRDefault="00D44179" w:rsidP="00156BD6">
            <w:pPr>
              <w:pStyle w:val="Obyejn"/>
              <w:ind w:left="-108"/>
            </w:pPr>
            <w:r w:rsidRPr="00754A93">
              <w:t>Zápis v OR:</w:t>
            </w:r>
          </w:p>
        </w:tc>
        <w:tc>
          <w:tcPr>
            <w:tcW w:w="6655" w:type="dxa"/>
            <w:vAlign w:val="center"/>
          </w:tcPr>
          <w:p w14:paraId="45DC8F25" w14:textId="77777777" w:rsidR="00D44179" w:rsidRPr="00754A93" w:rsidRDefault="00D44179" w:rsidP="00156BD6">
            <w:pPr>
              <w:pStyle w:val="Obyejn"/>
            </w:pPr>
            <w:r w:rsidRPr="00754A93">
              <w:t>OR vedený [</w:t>
            </w:r>
            <w:r w:rsidRPr="00754A93">
              <w:rPr>
                <w:highlight w:val="yellow"/>
              </w:rPr>
              <w:t>k doplnění</w:t>
            </w:r>
            <w:r w:rsidRPr="00754A93">
              <w:t>], oddíl [</w:t>
            </w:r>
            <w:r w:rsidRPr="00754A93">
              <w:rPr>
                <w:highlight w:val="yellow"/>
              </w:rPr>
              <w:t>k doplnění</w:t>
            </w:r>
            <w:r w:rsidRPr="00754A93">
              <w:t>], vložka [</w:t>
            </w:r>
            <w:r w:rsidRPr="00754A93">
              <w:rPr>
                <w:highlight w:val="yellow"/>
              </w:rPr>
              <w:t>k doplnění</w:t>
            </w:r>
            <w:r w:rsidRPr="00754A93">
              <w:t>]</w:t>
            </w:r>
          </w:p>
        </w:tc>
      </w:tr>
      <w:tr w:rsidR="00D44179" w:rsidRPr="00754A93" w14:paraId="7440DFF9" w14:textId="77777777" w:rsidTr="00156BD6">
        <w:trPr>
          <w:trHeight w:val="284"/>
        </w:trPr>
        <w:tc>
          <w:tcPr>
            <w:tcW w:w="2316" w:type="dxa"/>
            <w:vAlign w:val="center"/>
          </w:tcPr>
          <w:p w14:paraId="0E01E2A2" w14:textId="77777777" w:rsidR="00D44179" w:rsidRPr="00754A93" w:rsidRDefault="00D44179" w:rsidP="00156BD6">
            <w:pPr>
              <w:pStyle w:val="Obyejn"/>
              <w:ind w:left="-108"/>
            </w:pPr>
            <w:r w:rsidRPr="00754A93">
              <w:t>Zastoupen:</w:t>
            </w:r>
          </w:p>
        </w:tc>
        <w:tc>
          <w:tcPr>
            <w:tcW w:w="6655" w:type="dxa"/>
            <w:vAlign w:val="center"/>
          </w:tcPr>
          <w:p w14:paraId="796008DC" w14:textId="77777777" w:rsidR="00D44179" w:rsidRPr="00754A93" w:rsidRDefault="00D44179" w:rsidP="00156BD6">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D44179" w:rsidRPr="00754A93" w14:paraId="6C9B45A7" w14:textId="77777777" w:rsidTr="00156BD6">
        <w:trPr>
          <w:trHeight w:val="284"/>
        </w:trPr>
        <w:tc>
          <w:tcPr>
            <w:tcW w:w="2316" w:type="dxa"/>
            <w:vAlign w:val="center"/>
          </w:tcPr>
          <w:p w14:paraId="77DD3DA1" w14:textId="77777777" w:rsidR="00D44179" w:rsidRPr="00754A93" w:rsidRDefault="00D44179" w:rsidP="00156BD6">
            <w:pPr>
              <w:pStyle w:val="Obyejn"/>
              <w:ind w:left="-108"/>
            </w:pPr>
            <w:r w:rsidRPr="00754A93">
              <w:t>Bankovní spojení:</w:t>
            </w:r>
          </w:p>
        </w:tc>
        <w:tc>
          <w:tcPr>
            <w:tcW w:w="6655" w:type="dxa"/>
            <w:vAlign w:val="center"/>
          </w:tcPr>
          <w:p w14:paraId="7D923229" w14:textId="77777777" w:rsidR="00D44179" w:rsidRPr="00754A93" w:rsidRDefault="00D44179" w:rsidP="00156BD6">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D44179" w:rsidRPr="00754A93" w14:paraId="77561F4C" w14:textId="77777777" w:rsidTr="00156BD6">
        <w:trPr>
          <w:trHeight w:val="284"/>
        </w:trPr>
        <w:tc>
          <w:tcPr>
            <w:tcW w:w="2316" w:type="dxa"/>
            <w:vAlign w:val="center"/>
          </w:tcPr>
          <w:p w14:paraId="1BCC1420" w14:textId="77777777" w:rsidR="00D44179" w:rsidRPr="00754A93" w:rsidRDefault="00D44179" w:rsidP="00156BD6">
            <w:pPr>
              <w:pStyle w:val="Obyejn"/>
              <w:ind w:left="-108"/>
            </w:pPr>
            <w:r w:rsidRPr="00754A93">
              <w:t>Číslo účtu:</w:t>
            </w:r>
          </w:p>
        </w:tc>
        <w:tc>
          <w:tcPr>
            <w:tcW w:w="6655" w:type="dxa"/>
            <w:vAlign w:val="center"/>
          </w:tcPr>
          <w:p w14:paraId="7F2CDE39" w14:textId="77777777" w:rsidR="00D44179" w:rsidRPr="00754A93" w:rsidRDefault="00D44179" w:rsidP="00156BD6">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D44179" w:rsidRPr="00754A93" w14:paraId="3612785F" w14:textId="77777777" w:rsidTr="00156BD6">
        <w:trPr>
          <w:trHeight w:val="284"/>
        </w:trPr>
        <w:tc>
          <w:tcPr>
            <w:tcW w:w="2316" w:type="dxa"/>
            <w:vAlign w:val="center"/>
          </w:tcPr>
          <w:p w14:paraId="3DFBAAB5" w14:textId="77777777" w:rsidR="00D44179" w:rsidRPr="00754A93" w:rsidRDefault="00D44179" w:rsidP="00156BD6">
            <w:pPr>
              <w:pStyle w:val="Obyejn"/>
              <w:ind w:left="-108"/>
            </w:pPr>
            <w:r w:rsidRPr="00754A93">
              <w:t>Osoba oprávněná jednat ve věcech smluvních:</w:t>
            </w:r>
          </w:p>
        </w:tc>
        <w:tc>
          <w:tcPr>
            <w:tcW w:w="6655" w:type="dxa"/>
            <w:vAlign w:val="center"/>
          </w:tcPr>
          <w:p w14:paraId="7AD0C495" w14:textId="77777777" w:rsidR="00D44179" w:rsidRPr="00754A93" w:rsidRDefault="00D44179" w:rsidP="00156BD6">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r w:rsidR="00D44179" w:rsidRPr="00754A93" w14:paraId="57296600" w14:textId="77777777" w:rsidTr="00156BD6">
        <w:trPr>
          <w:trHeight w:val="284"/>
        </w:trPr>
        <w:tc>
          <w:tcPr>
            <w:tcW w:w="2316" w:type="dxa"/>
            <w:vAlign w:val="center"/>
          </w:tcPr>
          <w:p w14:paraId="7DA0B23E" w14:textId="77777777" w:rsidR="00D44179" w:rsidRPr="00754A93" w:rsidRDefault="00D44179" w:rsidP="00156BD6">
            <w:pPr>
              <w:pStyle w:val="Obyejn"/>
              <w:ind w:left="-108"/>
            </w:pPr>
            <w:r w:rsidRPr="00754A93">
              <w:t>Osoba oprávněná jednat ve věcech technických:</w:t>
            </w:r>
          </w:p>
        </w:tc>
        <w:tc>
          <w:tcPr>
            <w:tcW w:w="6655" w:type="dxa"/>
            <w:vAlign w:val="center"/>
          </w:tcPr>
          <w:p w14:paraId="18E2FDA5" w14:textId="77777777" w:rsidR="00D44179" w:rsidRPr="00754A93" w:rsidRDefault="00D44179" w:rsidP="00156BD6">
            <w:pPr>
              <w:pStyle w:val="Obyejn"/>
              <w:rPr>
                <w:rFonts w:cs="Times New Roman"/>
              </w:rPr>
            </w:pPr>
            <w:r w:rsidRPr="00094674">
              <w:t>[</w:t>
            </w:r>
            <w:r w:rsidRPr="00094674">
              <w:rPr>
                <w:highlight w:val="yellow"/>
              </w:rPr>
              <w:t>k</w:t>
            </w:r>
            <w:r w:rsidRPr="00754A93">
              <w:rPr>
                <w:highlight w:val="yellow"/>
              </w:rPr>
              <w:t xml:space="preserve"> doplnění</w:t>
            </w:r>
            <w:r w:rsidRPr="00094674">
              <w:t>]</w:t>
            </w:r>
          </w:p>
        </w:tc>
      </w:tr>
    </w:tbl>
    <w:p w14:paraId="74216F24" w14:textId="2479B9B9" w:rsidR="00D44179" w:rsidRPr="00BE2B19" w:rsidRDefault="00D44179" w:rsidP="00D44179">
      <w:pPr>
        <w:pStyle w:val="Obyejn"/>
        <w:rPr>
          <w:rFonts w:ascii="Times New Roman" w:hAnsi="Times New Roman"/>
        </w:rPr>
      </w:pPr>
      <w:r w:rsidRPr="006B53FB">
        <w:t xml:space="preserve"> („</w:t>
      </w:r>
      <w:r>
        <w:rPr>
          <w:b/>
        </w:rPr>
        <w:t>prodávající</w:t>
      </w:r>
      <w:r w:rsidRPr="006B53FB">
        <w:t>“)</w:t>
      </w:r>
      <w:r w:rsidRPr="00BE2B19">
        <w:rPr>
          <w:rFonts w:ascii="Times New Roman" w:hAnsi="Times New Roman"/>
        </w:rPr>
        <w:br w:type="page"/>
      </w:r>
    </w:p>
    <w:p w14:paraId="41B1ADDE" w14:textId="77777777" w:rsidR="00D44179" w:rsidRPr="004A6AA1" w:rsidRDefault="00D44179" w:rsidP="00D44179">
      <w:pPr>
        <w:pStyle w:val="Nadpis1"/>
      </w:pPr>
      <w:r w:rsidRPr="004A6AA1">
        <w:lastRenderedPageBreak/>
        <w:t>Předmět smlouvy</w:t>
      </w:r>
    </w:p>
    <w:p w14:paraId="2BC0DA27" w14:textId="0E2FBFFC" w:rsidR="00547EA6" w:rsidRDefault="00D44179" w:rsidP="00547EA6">
      <w:pPr>
        <w:pStyle w:val="rovezanadpis"/>
        <w:ind w:left="709" w:hanging="709"/>
      </w:pPr>
      <w:r w:rsidRPr="00D76357">
        <w:t>Předmětem této smlouvy je závazek prodávajícího odevzdat</w:t>
      </w:r>
      <w:r>
        <w:t xml:space="preserve"> kupujícímu</w:t>
      </w:r>
      <w:r w:rsidRPr="00D76357">
        <w:t xml:space="preserve"> </w:t>
      </w:r>
      <w:r w:rsidR="00E23041">
        <w:t xml:space="preserve">dodávku </w:t>
      </w:r>
      <w:r>
        <w:t xml:space="preserve">IT vybavení </w:t>
      </w:r>
      <w:bookmarkStart w:id="4" w:name="_Hlk48345742"/>
      <w:r w:rsidR="00E23041">
        <w:t xml:space="preserve">do </w:t>
      </w:r>
      <w:r>
        <w:t>odborných učeben</w:t>
      </w:r>
      <w:r w:rsidR="00E23041" w:rsidRPr="00E23041">
        <w:t xml:space="preserve"> </w:t>
      </w:r>
      <w:r w:rsidR="00E23041">
        <w:t>základních škol</w:t>
      </w:r>
      <w:bookmarkEnd w:id="4"/>
      <w:r>
        <w:t>, které je blíže specifikováno</w:t>
      </w:r>
      <w:r w:rsidRPr="004A6AA1">
        <w:t xml:space="preserve"> </w:t>
      </w:r>
      <w:r w:rsidRPr="00F44279">
        <w:t>v příloze č. 1</w:t>
      </w:r>
      <w:r w:rsidRPr="00D76357">
        <w:t xml:space="preserve"> smlouvy („dodávka“)</w:t>
      </w:r>
      <w:r>
        <w:t>,</w:t>
      </w:r>
      <w:r w:rsidRPr="00D76357">
        <w:t xml:space="preserve"> a umožnit kupujícímu n</w:t>
      </w:r>
      <w:r>
        <w:t>abýt vlastnické právo k </w:t>
      </w:r>
      <w:r w:rsidRPr="004B49DC">
        <w:t>dodávce a</w:t>
      </w:r>
      <w:r w:rsidR="0030626A">
        <w:t> </w:t>
      </w:r>
      <w:r w:rsidRPr="004B49DC">
        <w:t>závazek kupujícího dodávku převzít a</w:t>
      </w:r>
      <w:r>
        <w:t> </w:t>
      </w:r>
      <w:r w:rsidRPr="004B49DC">
        <w:t>zaplatit za dodávku dále sjednanou kupní cenu.</w:t>
      </w:r>
    </w:p>
    <w:p w14:paraId="336CE61B" w14:textId="156701E8" w:rsidR="00547EA6" w:rsidRDefault="00547EA6" w:rsidP="00547EA6">
      <w:pPr>
        <w:pStyle w:val="rovezanadpis"/>
        <w:ind w:left="709" w:hanging="709"/>
      </w:pPr>
      <w:r w:rsidRPr="004B49DC">
        <w:t>Součástí plnění je doprava do místa, vybalení, odborná montáž</w:t>
      </w:r>
      <w:r>
        <w:t xml:space="preserve">, instalace, vyzkoušení funkčnosti </w:t>
      </w:r>
      <w:r w:rsidRPr="004B49DC">
        <w:t>a likvidace odpadu</w:t>
      </w:r>
      <w:r>
        <w:t>, který vznikne v souvislosti s plněním veřejné zakázky, a dále odpovídající odborné proškolení pracovníků kupujícího</w:t>
      </w:r>
      <w:r w:rsidRPr="004B49DC">
        <w:t xml:space="preserve">. </w:t>
      </w:r>
    </w:p>
    <w:p w14:paraId="6F8688D2" w14:textId="77777777" w:rsidR="00D44179" w:rsidRDefault="00D44179" w:rsidP="00D44179">
      <w:pPr>
        <w:pStyle w:val="rovezanadpis"/>
        <w:ind w:left="709" w:hanging="709"/>
      </w:pPr>
      <w:bookmarkStart w:id="5" w:name="_Hlk48343139"/>
      <w:r>
        <w:t>Dodané zboží musí být plně funkční, nové, nerepasované, bez dalších dodatečných nákladů ze strany kupujícího na jeho zprovoznění</w:t>
      </w:r>
      <w:bookmarkEnd w:id="5"/>
      <w:r>
        <w:t>.</w:t>
      </w:r>
      <w:r w:rsidRPr="004B49DC">
        <w:t xml:space="preserve"> </w:t>
      </w:r>
    </w:p>
    <w:p w14:paraId="173BC931" w14:textId="77777777" w:rsidR="00D44179" w:rsidRDefault="00D44179" w:rsidP="00D44179">
      <w:pPr>
        <w:pStyle w:val="rovezanadpis"/>
        <w:tabs>
          <w:tab w:val="clear" w:pos="1021"/>
          <w:tab w:val="left" w:pos="851"/>
        </w:tabs>
        <w:ind w:left="709" w:hanging="709"/>
      </w:pPr>
      <w:r>
        <w:t>Prodávající</w:t>
      </w:r>
      <w:r w:rsidRPr="00697F00">
        <w:t xml:space="preserve"> není oprávněn pověřit </w:t>
      </w:r>
      <w:r>
        <w:t>dodávkou ani její</w:t>
      </w:r>
      <w:r w:rsidRPr="00697F00">
        <w:t xml:space="preserve"> část</w:t>
      </w:r>
      <w:r>
        <w:t>í</w:t>
      </w:r>
      <w:r w:rsidRPr="00697F00">
        <w:t xml:space="preserve"> bez předchozího písemného souhlasu </w:t>
      </w:r>
      <w:r>
        <w:t>kupujícího</w:t>
      </w:r>
      <w:r w:rsidRPr="0088103C">
        <w:t xml:space="preserve"> </w:t>
      </w:r>
      <w:r w:rsidRPr="00697F00">
        <w:t>jinou osobu, která by prováděla svoji činnost samostatně a</w:t>
      </w:r>
      <w:r>
        <w:t> </w:t>
      </w:r>
      <w:r w:rsidRPr="00697F00">
        <w:t xml:space="preserve">svým jménem. V případě, že tak učiní, je povinen </w:t>
      </w:r>
      <w:r>
        <w:t>kupujícímu</w:t>
      </w:r>
      <w:r w:rsidRPr="00697F00">
        <w:t xml:space="preserve"> uhradit škodu vzniklou zejména tím, že mu nebudou poskytnuty finanční prostředky od </w:t>
      </w:r>
      <w:r>
        <w:t xml:space="preserve">jejich </w:t>
      </w:r>
      <w:r w:rsidRPr="00697F00">
        <w:t>poskytovatele,</w:t>
      </w:r>
      <w:r>
        <w:t xml:space="preserve"> jakož i další finanční újmu s </w:t>
      </w:r>
      <w:r w:rsidRPr="00383C6B">
        <w:t>tímto související.</w:t>
      </w:r>
    </w:p>
    <w:p w14:paraId="6BA21BAA" w14:textId="77777777" w:rsidR="00D44179" w:rsidRPr="004B49DC" w:rsidRDefault="00D44179" w:rsidP="00D44179">
      <w:pPr>
        <w:pStyle w:val="Nadpis1"/>
      </w:pPr>
      <w:r w:rsidRPr="004B49DC">
        <w:t xml:space="preserve">Místo a </w:t>
      </w:r>
      <w:r w:rsidR="002F4A14">
        <w:t>d</w:t>
      </w:r>
      <w:r w:rsidRPr="004B49DC">
        <w:t>oba plnění</w:t>
      </w:r>
    </w:p>
    <w:p w14:paraId="450C31CF" w14:textId="26B56F94" w:rsidR="00972F65" w:rsidRPr="00384072" w:rsidRDefault="00972F65" w:rsidP="00972F65">
      <w:pPr>
        <w:pStyle w:val="rovezanadpis"/>
        <w:ind w:left="709" w:hanging="709"/>
      </w:pPr>
      <w:bookmarkStart w:id="6" w:name="_Ref445997553"/>
      <w:r>
        <w:t xml:space="preserve">Místem plnění </w:t>
      </w:r>
      <w:r w:rsidRPr="00F44279">
        <w:t>j</w:t>
      </w:r>
      <w:r>
        <w:t>sou následující objekty: o</w:t>
      </w:r>
      <w:r w:rsidRPr="00905AEA">
        <w:t>bjekt Základní školy, Praha 9</w:t>
      </w:r>
      <w:r w:rsidR="005C04EE">
        <w:t xml:space="preserve"> </w:t>
      </w:r>
      <w:r w:rsidRPr="00905AEA">
        <w:t>- Kyje, Šimanovská 16;</w:t>
      </w:r>
      <w:r w:rsidR="005C04EE">
        <w:t xml:space="preserve"> objekt</w:t>
      </w:r>
      <w:r w:rsidRPr="00905AEA">
        <w:t xml:space="preserve"> Základní školy, Praha 9 - Černý Most, Gen. Janouška 1006; </w:t>
      </w:r>
      <w:r w:rsidR="00AD0F06">
        <w:t>a </w:t>
      </w:r>
      <w:r w:rsidRPr="00905AEA">
        <w:t>objekt Základní školy, Praha 9 - Černý Most, Bří. Venclíků 1140</w:t>
      </w:r>
      <w:r w:rsidR="0050061D">
        <w:t>;</w:t>
      </w:r>
      <w:r w:rsidR="0050061D" w:rsidRPr="00905AEA">
        <w:t xml:space="preserve"> </w:t>
      </w:r>
      <w:r w:rsidR="0050061D">
        <w:t xml:space="preserve">vše </w:t>
      </w:r>
      <w:r w:rsidR="0050061D" w:rsidRPr="00905AEA">
        <w:t>Městská část Praha 14 – kód ZÚJ 547361</w:t>
      </w:r>
      <w:r w:rsidR="0050061D">
        <w:t xml:space="preserve">, </w:t>
      </w:r>
      <w:r w:rsidR="0050061D" w:rsidRPr="00905AEA">
        <w:t>Hlavní město Praha – kód NUTS CZ010</w:t>
      </w:r>
      <w:r>
        <w:t>.</w:t>
      </w:r>
    </w:p>
    <w:p w14:paraId="7FDF9F26" w14:textId="77777777" w:rsidR="00972F65" w:rsidRDefault="00972F65" w:rsidP="00972F65">
      <w:pPr>
        <w:pStyle w:val="rovezanadpis"/>
        <w:ind w:left="709" w:hanging="709"/>
      </w:pPr>
      <w:r w:rsidRPr="00384072">
        <w:t>O předání dodávky</w:t>
      </w:r>
      <w:r>
        <w:t xml:space="preserve"> včetně všech součástí plnění</w:t>
      </w:r>
      <w:r w:rsidRPr="00384072">
        <w:t xml:space="preserve"> bude smluvními stranami sepsán předávací protokol ve dvou </w:t>
      </w:r>
      <w:r w:rsidRPr="004B49DC">
        <w:t>vyhotoveních, z nichž jedno obdrží kupující a jedno prodávající.</w:t>
      </w:r>
      <w:r>
        <w:t xml:space="preserve"> Kupující si vyhrazuje právo vyžadovat předání dodávky po ucelených částech.</w:t>
      </w:r>
    </w:p>
    <w:p w14:paraId="40E9638D" w14:textId="77777777" w:rsidR="00972F65" w:rsidRPr="004B49DC" w:rsidRDefault="00972F65" w:rsidP="00972F65">
      <w:pPr>
        <w:pStyle w:val="rovezanadpis"/>
        <w:ind w:left="709" w:hanging="709"/>
      </w:pPr>
      <w:r>
        <w:t>Součástí protokolu o převzetí bude uvedení všech položek, které jsou součástí plnění a všechny případné vady, včetně termínu pro jejich odstranění.</w:t>
      </w:r>
    </w:p>
    <w:p w14:paraId="549CDDAE" w14:textId="77777777" w:rsidR="00972F65" w:rsidRPr="00972F65" w:rsidRDefault="00972F65" w:rsidP="00972F65">
      <w:pPr>
        <w:pStyle w:val="rovezanadpis"/>
        <w:ind w:left="709" w:hanging="709"/>
        <w:rPr>
          <w:b/>
          <w:bCs/>
        </w:rPr>
      </w:pPr>
      <w:r w:rsidRPr="004B49DC">
        <w:t>Prodávající se zavazuje dodat</w:t>
      </w:r>
      <w:r>
        <w:t xml:space="preserve"> a odborně instalovat</w:t>
      </w:r>
      <w:r w:rsidRPr="004B49DC">
        <w:t xml:space="preserve"> předmět smlouvy </w:t>
      </w:r>
      <w:r>
        <w:t>ve sjednané době:</w:t>
      </w:r>
    </w:p>
    <w:p w14:paraId="20F144AA" w14:textId="77777777" w:rsidR="00972F65" w:rsidRDefault="00972F65" w:rsidP="00972F65">
      <w:pPr>
        <w:pStyle w:val="rovezanadpis"/>
        <w:numPr>
          <w:ilvl w:val="0"/>
          <w:numId w:val="0"/>
        </w:numPr>
        <w:ind w:left="709"/>
      </w:pPr>
      <w:r>
        <w:t xml:space="preserve">zahájení: </w:t>
      </w:r>
      <w:r>
        <w:tab/>
        <w:t xml:space="preserve">ke dni stanovenému kupujícím, kupující stanoví termín alespoň týden předem </w:t>
      </w:r>
    </w:p>
    <w:p w14:paraId="62E3E92D" w14:textId="14250507" w:rsidR="00972F65" w:rsidRDefault="00972F65" w:rsidP="00972F65">
      <w:pPr>
        <w:pStyle w:val="rovezanadpis"/>
        <w:numPr>
          <w:ilvl w:val="0"/>
          <w:numId w:val="0"/>
        </w:numPr>
        <w:ind w:left="709"/>
      </w:pPr>
      <w:r>
        <w:t xml:space="preserve">dokončení: </w:t>
      </w:r>
      <w:r>
        <w:tab/>
      </w:r>
      <w:bookmarkStart w:id="7" w:name="_Hlk52774153"/>
      <w:r>
        <w:t xml:space="preserve">do </w:t>
      </w:r>
      <w:bookmarkEnd w:id="7"/>
      <w:r w:rsidR="00613A20">
        <w:t>31. 3. 2021</w:t>
      </w:r>
      <w:r>
        <w:t xml:space="preserve"> </w:t>
      </w:r>
    </w:p>
    <w:p w14:paraId="5C753EC2" w14:textId="77777777" w:rsidR="00D44179" w:rsidRPr="004B49DC" w:rsidRDefault="00972F65" w:rsidP="00972F65">
      <w:pPr>
        <w:pStyle w:val="rovezanadpis"/>
        <w:tabs>
          <w:tab w:val="clear" w:pos="1021"/>
          <w:tab w:val="left" w:pos="709"/>
        </w:tabs>
        <w:ind w:left="709" w:hanging="709"/>
      </w:pPr>
      <w:r w:rsidRPr="000825A9">
        <w:t xml:space="preserve">V případě omezení postupu </w:t>
      </w:r>
      <w:r>
        <w:t>dodávek</w:t>
      </w:r>
      <w:r w:rsidRPr="000825A9">
        <w:t xml:space="preserve"> vlivem </w:t>
      </w:r>
      <w:r>
        <w:t>kupujícího</w:t>
      </w:r>
      <w:r w:rsidRPr="000825A9">
        <w:t xml:space="preserve"> nebo z důvodů, které nevznikly jednáním, opomenutím případně nečinností </w:t>
      </w:r>
      <w:r>
        <w:t>prodávajícího</w:t>
      </w:r>
      <w:r w:rsidRPr="000825A9">
        <w:t xml:space="preserve"> (např. vyšší moc), může být posunut nejzazší termín dokončení. </w:t>
      </w:r>
      <w:r>
        <w:t>V případě potřeby koordinace s dodavateli dalších veřejných zakázek realizovaných na předmětných základních školách lze po vzájemné dohodě smluvních stran tento termín taktéž prodloužit. V takovém případě bude uzavřen dodatek ke smlouvě.</w:t>
      </w:r>
    </w:p>
    <w:bookmarkEnd w:id="6"/>
    <w:p w14:paraId="18F58965" w14:textId="77777777" w:rsidR="00D44179" w:rsidRPr="00BE2B19" w:rsidRDefault="00D44179" w:rsidP="00D44179">
      <w:pPr>
        <w:pStyle w:val="Nadpis1"/>
      </w:pPr>
      <w:r>
        <w:lastRenderedPageBreak/>
        <w:t>Kupní cena a platební podmínky</w:t>
      </w:r>
    </w:p>
    <w:p w14:paraId="1EA4B745" w14:textId="25EAEA17" w:rsidR="00D44179" w:rsidRPr="00BE2B19" w:rsidRDefault="00D44179" w:rsidP="00D44179">
      <w:pPr>
        <w:pStyle w:val="rovezanadpis"/>
        <w:ind w:left="709" w:hanging="709"/>
      </w:pPr>
      <w:r>
        <w:t>Kupní cena</w:t>
      </w:r>
      <w:r w:rsidRPr="00BE2B19">
        <w:t xml:space="preserve"> byla stanovena dohodou smluvních stran n</w:t>
      </w:r>
      <w:r>
        <w:t>a základě nabídky prodávající podané v zadávacím řízení nazvaném „</w:t>
      </w:r>
      <w:r w:rsidR="0030626A" w:rsidRPr="0030626A">
        <w:t>Vybudování odborných učeben na základních školách</w:t>
      </w:r>
      <w:r w:rsidR="00613A20">
        <w:t xml:space="preserve"> – opakované řízení</w:t>
      </w:r>
      <w:r>
        <w:t>“</w:t>
      </w:r>
      <w:r w:rsidR="0030626A">
        <w:t>, část 1 – IT vybavení</w:t>
      </w:r>
      <w:r>
        <w:t xml:space="preserve"> („zadávací řízení“) a </w:t>
      </w:r>
      <w:r w:rsidRPr="00BE2B19">
        <w:t>činí:</w:t>
      </w:r>
    </w:p>
    <w:p w14:paraId="301781CC" w14:textId="77777777" w:rsidR="00D44179" w:rsidRPr="00D91290" w:rsidRDefault="00D44179" w:rsidP="00D44179">
      <w:pPr>
        <w:pStyle w:val="Podnadpis"/>
      </w:pPr>
      <w:r w:rsidRPr="00D91290">
        <w:t>Cena bez DPH:</w:t>
      </w:r>
      <w:r w:rsidRPr="00D91290">
        <w:tab/>
        <w:t>[</w:t>
      </w:r>
      <w:r w:rsidRPr="00D91290">
        <w:rPr>
          <w:highlight w:val="yellow"/>
        </w:rPr>
        <w:t>k doplnění</w:t>
      </w:r>
      <w:r w:rsidRPr="00D91290">
        <w:t>] Kč</w:t>
      </w:r>
    </w:p>
    <w:p w14:paraId="10DB3DA3" w14:textId="77777777" w:rsidR="00D44179" w:rsidRPr="00D91290" w:rsidRDefault="00D44179" w:rsidP="00D44179">
      <w:pPr>
        <w:pStyle w:val="Podnadpis"/>
      </w:pPr>
      <w:r w:rsidRPr="00D91290">
        <w:t xml:space="preserve">DPH </w:t>
      </w:r>
      <w:r w:rsidRPr="00BD1CC5">
        <w:rPr>
          <w:highlight w:val="yellow"/>
        </w:rPr>
        <w:t>[k doplnění]</w:t>
      </w:r>
      <w:r w:rsidRPr="00245CBA">
        <w:t xml:space="preserve"> %</w:t>
      </w:r>
      <w:r w:rsidRPr="00D91290">
        <w:t xml:space="preserve">: </w:t>
      </w:r>
      <w:r w:rsidRPr="00D91290">
        <w:tab/>
        <w:t>[</w:t>
      </w:r>
      <w:r w:rsidRPr="00D91290">
        <w:rPr>
          <w:highlight w:val="yellow"/>
        </w:rPr>
        <w:t>k doplnění</w:t>
      </w:r>
      <w:r w:rsidRPr="00D91290">
        <w:t>] Kč</w:t>
      </w:r>
    </w:p>
    <w:p w14:paraId="45D8577A" w14:textId="77777777" w:rsidR="00D44179" w:rsidRPr="00BE2B19" w:rsidRDefault="00D44179" w:rsidP="00D44179">
      <w:pPr>
        <w:pStyle w:val="Podnadpis"/>
      </w:pPr>
      <w:r w:rsidRPr="00D91290">
        <w:t>Cena</w:t>
      </w:r>
      <w:r w:rsidRPr="00BE2B19">
        <w:t xml:space="preserve"> s DPH </w:t>
      </w:r>
      <w:r w:rsidRPr="00BE2B19">
        <w:tab/>
      </w:r>
      <w:r>
        <w:tab/>
      </w:r>
      <w:r w:rsidRPr="00BF3819">
        <w:t>[</w:t>
      </w:r>
      <w:r w:rsidRPr="00BF3819">
        <w:rPr>
          <w:highlight w:val="yellow"/>
        </w:rPr>
        <w:t>k</w:t>
      </w:r>
      <w:r w:rsidRPr="004A7D7E">
        <w:rPr>
          <w:highlight w:val="yellow"/>
        </w:rPr>
        <w:t xml:space="preserve"> doplnění</w:t>
      </w:r>
      <w:r w:rsidRPr="00BF3819">
        <w:t>]</w:t>
      </w:r>
      <w:r w:rsidRPr="00BE2B19">
        <w:rPr>
          <w:color w:val="FF0000"/>
        </w:rPr>
        <w:t xml:space="preserve"> </w:t>
      </w:r>
      <w:r w:rsidRPr="00BE2B19">
        <w:t>Kč</w:t>
      </w:r>
    </w:p>
    <w:p w14:paraId="17A0C52E" w14:textId="77777777" w:rsidR="00D44179" w:rsidRDefault="00D44179" w:rsidP="00D44179">
      <w:pPr>
        <w:pStyle w:val="rovezanadpis"/>
        <w:ind w:left="709" w:hanging="709"/>
      </w:pPr>
      <w:r w:rsidRPr="00BE2B19">
        <w:t xml:space="preserve">Cena bez DPH je dohodnuta jako nejvýše přípustná po celou dobu platnosti smlouvy. Dojde-li v průběhu realizace </w:t>
      </w:r>
      <w:r>
        <w:t>smlouvy</w:t>
      </w:r>
      <w:r w:rsidRPr="00BE2B19">
        <w:t xml:space="preserve"> ke změnám sazeb daně z přidané hodnoty, bude v takovém případě </w:t>
      </w:r>
      <w:r>
        <w:t xml:space="preserve">ke kupní ceně </w:t>
      </w:r>
      <w:r w:rsidRPr="00BE2B19">
        <w:t xml:space="preserve">bez DPH připočtena DPH v aktuální sazbě platné v době vzniku zdanitelného plnění. </w:t>
      </w:r>
    </w:p>
    <w:p w14:paraId="0DB931BB" w14:textId="77777777" w:rsidR="00D44179" w:rsidRDefault="00D44179" w:rsidP="00D44179">
      <w:pPr>
        <w:pStyle w:val="rovezanadpis"/>
        <w:tabs>
          <w:tab w:val="clear" w:pos="1021"/>
          <w:tab w:val="left" w:pos="851"/>
        </w:tabs>
        <w:ind w:left="709" w:hanging="709"/>
      </w:pPr>
      <w:r w:rsidRPr="00DB162D">
        <w:t xml:space="preserve">Cena obsahuje veškeré náklady </w:t>
      </w:r>
      <w:r>
        <w:t>prodávajícího,</w:t>
      </w:r>
      <w:r w:rsidRPr="00DB162D">
        <w:t xml:space="preserve"> nutné k úplné a řádné realizaci </w:t>
      </w:r>
      <w:r>
        <w:t>předmětu smlouvy</w:t>
      </w:r>
      <w:r w:rsidRPr="00DB162D">
        <w:t>, rovněž obsahuje i předpokládaný vývoj kurzů české koruny k</w:t>
      </w:r>
      <w:r>
        <w:t> </w:t>
      </w:r>
      <w:r w:rsidRPr="00DB162D">
        <w:t>zahraničním měnám až do konce její platnosti.</w:t>
      </w:r>
    </w:p>
    <w:p w14:paraId="14B5995F" w14:textId="77777777" w:rsidR="00D44179" w:rsidRPr="00BE2B19" w:rsidRDefault="00D44179" w:rsidP="00D44179">
      <w:pPr>
        <w:pStyle w:val="rovezanadpis"/>
        <w:tabs>
          <w:tab w:val="clear" w:pos="1021"/>
          <w:tab w:val="left" w:pos="851"/>
        </w:tabs>
        <w:ind w:left="709" w:hanging="709"/>
      </w:pPr>
      <w:r w:rsidRPr="00DB162D">
        <w:t>V případě, že dojde k prodlení s </w:t>
      </w:r>
      <w:r>
        <w:t>dodáním</w:t>
      </w:r>
      <w:r w:rsidRPr="00DB162D">
        <w:t xml:space="preserve"> </w:t>
      </w:r>
      <w:r>
        <w:t>předmětu smlouvy</w:t>
      </w:r>
      <w:r w:rsidRPr="00DB162D">
        <w:t xml:space="preserve"> z důvodů ležících na</w:t>
      </w:r>
      <w:r>
        <w:t> </w:t>
      </w:r>
      <w:r w:rsidRPr="00DB162D">
        <w:t xml:space="preserve">straně </w:t>
      </w:r>
      <w:r>
        <w:t>prodávajícího</w:t>
      </w:r>
      <w:r w:rsidRPr="00DB162D">
        <w:t xml:space="preserve">, je tato cena neměnná až do doby skutečného </w:t>
      </w:r>
      <w:r>
        <w:t>dodání</w:t>
      </w:r>
      <w:r w:rsidRPr="00DB162D">
        <w:t xml:space="preserve"> </w:t>
      </w:r>
      <w:r>
        <w:t>předmětu smlouvy</w:t>
      </w:r>
      <w:r w:rsidRPr="00DB162D">
        <w:t>.</w:t>
      </w:r>
    </w:p>
    <w:p w14:paraId="15C97B1A" w14:textId="3BBA6565" w:rsidR="00D44179" w:rsidRDefault="006E0E4D" w:rsidP="00D44179">
      <w:pPr>
        <w:pStyle w:val="rovezanadpis"/>
        <w:ind w:left="709" w:hanging="709"/>
      </w:pPr>
      <w:bookmarkStart w:id="8" w:name="_Hlk48343307"/>
      <w:bookmarkStart w:id="9" w:name="_Hlk48343329"/>
      <w:r>
        <w:t>Cenu lze změnit pouze</w:t>
      </w:r>
      <w:bookmarkEnd w:id="8"/>
      <w:r>
        <w:t xml:space="preserve"> </w:t>
      </w:r>
      <w:r w:rsidR="00D44179">
        <w:t>na základě níže uvedených skutečností a vždy v souladu s příslušnými pravidly stanovenými v § 222 zákona č. 134/2016 Sb., o zadávání veřejných zakázek, ve znění pozdějších předpisů</w:t>
      </w:r>
      <w:bookmarkEnd w:id="9"/>
      <w:r w:rsidR="00D44179">
        <w:t>:</w:t>
      </w:r>
    </w:p>
    <w:p w14:paraId="6D8440A7" w14:textId="77777777" w:rsidR="00D44179" w:rsidRPr="006D4C09" w:rsidRDefault="00D44179" w:rsidP="00D44179">
      <w:pPr>
        <w:pStyle w:val="Psmena"/>
        <w:numPr>
          <w:ilvl w:val="3"/>
          <w:numId w:val="2"/>
        </w:numPr>
        <w:ind w:left="709" w:hanging="283"/>
      </w:pPr>
      <w:r w:rsidRPr="006D4C09">
        <w:t xml:space="preserve">při změnách </w:t>
      </w:r>
      <w:r>
        <w:t>plnění</w:t>
      </w:r>
      <w:r w:rsidRPr="006D4C09">
        <w:t xml:space="preserve"> požadovaných </w:t>
      </w:r>
      <w:r>
        <w:t>kupujícím</w:t>
      </w:r>
      <w:r w:rsidRPr="006D4C09">
        <w:t xml:space="preserve"> nad rámec zadávací dokumentace</w:t>
      </w:r>
      <w:r>
        <w:t xml:space="preserve"> poskytnuté v zadávacím řízení</w:t>
      </w:r>
      <w:r w:rsidRPr="006D4C09">
        <w:t xml:space="preserve">, případně </w:t>
      </w:r>
      <w:r>
        <w:t>kupujícím</w:t>
      </w:r>
      <w:r w:rsidRPr="006D4C09">
        <w:t xml:space="preserve"> vyloučených </w:t>
      </w:r>
      <w:r>
        <w:t>dodávek z </w:t>
      </w:r>
      <w:r w:rsidRPr="006D4C09">
        <w:t>předmětu plnění,</w:t>
      </w:r>
    </w:p>
    <w:p w14:paraId="05B126F4" w14:textId="77777777" w:rsidR="00D44179" w:rsidRDefault="00D44179" w:rsidP="00D44179">
      <w:pPr>
        <w:pStyle w:val="Psmena"/>
        <w:ind w:hanging="283"/>
      </w:pPr>
      <w:r w:rsidRPr="006D4C09">
        <w:t xml:space="preserve">při změnách rozsahu </w:t>
      </w:r>
      <w:r>
        <w:t>plnění</w:t>
      </w:r>
      <w:r w:rsidRPr="006D4C09">
        <w:t xml:space="preserve"> nepředvídatelnými oko</w:t>
      </w:r>
      <w:r>
        <w:t xml:space="preserve">lnostmi, které nemohla žádná </w:t>
      </w:r>
      <w:r w:rsidRPr="005825F7">
        <w:t>ze</w:t>
      </w:r>
      <w:r>
        <w:t> </w:t>
      </w:r>
      <w:r w:rsidRPr="005825F7">
        <w:t>smluvních</w:t>
      </w:r>
      <w:r w:rsidRPr="006D4C09">
        <w:t xml:space="preserve"> stran ovlivnit</w:t>
      </w:r>
      <w:r>
        <w:t>,</w:t>
      </w:r>
    </w:p>
    <w:p w14:paraId="783021D9" w14:textId="77777777" w:rsidR="00D44179" w:rsidRPr="006D4C09" w:rsidRDefault="00D44179" w:rsidP="00D44179">
      <w:pPr>
        <w:pStyle w:val="Psmena"/>
        <w:ind w:hanging="283"/>
      </w:pPr>
      <w:r>
        <w:t>při změně daňových předpisů.</w:t>
      </w:r>
    </w:p>
    <w:p w14:paraId="698F7F69" w14:textId="1E31738A" w:rsidR="00D44179" w:rsidRPr="00EF6A97" w:rsidRDefault="000F3BC0" w:rsidP="00D44179">
      <w:pPr>
        <w:pStyle w:val="rovezanadpis"/>
        <w:ind w:left="709" w:hanging="709"/>
      </w:pPr>
      <w:r>
        <w:t>Prodávající je oprávněn vystavit fakturu ke dni podepsání protokolu o převzetí všech částí dodávky oběma smluvními stranami</w:t>
      </w:r>
      <w:r w:rsidR="00D44179">
        <w:t xml:space="preserve">. </w:t>
      </w:r>
      <w:bookmarkStart w:id="10" w:name="_Hlk48343374"/>
      <w:r w:rsidR="00D44179" w:rsidRPr="00005C31">
        <w:t>Přílohou faktur bud</w:t>
      </w:r>
      <w:r w:rsidR="00D44179">
        <w:t>ou</w:t>
      </w:r>
      <w:r w:rsidR="00D44179" w:rsidRPr="00005C31">
        <w:t xml:space="preserve"> kopie předávacího protokolu na</w:t>
      </w:r>
      <w:r w:rsidR="00D44179">
        <w:t> </w:t>
      </w:r>
      <w:r w:rsidR="00D44179" w:rsidRPr="00005C31">
        <w:t>všechny součásti dodávky potvrzeného oprávněnou osobou kupujícího</w:t>
      </w:r>
      <w:bookmarkEnd w:id="10"/>
      <w:r w:rsidR="00D44179" w:rsidRPr="00005C31">
        <w:t>.</w:t>
      </w:r>
    </w:p>
    <w:p w14:paraId="4117C978" w14:textId="77777777" w:rsidR="00D44179" w:rsidRPr="00384072" w:rsidRDefault="00D44179" w:rsidP="00D44179">
      <w:pPr>
        <w:pStyle w:val="rovezanadpis"/>
        <w:ind w:left="709" w:hanging="709"/>
      </w:pPr>
      <w:bookmarkStart w:id="11" w:name="_Hlk48343277"/>
      <w:r w:rsidRPr="00384072">
        <w:t xml:space="preserve">Splatnost faktur činí </w:t>
      </w:r>
      <w:r>
        <w:t>3</w:t>
      </w:r>
      <w:r w:rsidRPr="00384072">
        <w:t>0 dnů</w:t>
      </w:r>
      <w:r>
        <w:t xml:space="preserve"> ode dne prokazatelného doručení kupujícímu včetně všech příloh.</w:t>
      </w:r>
    </w:p>
    <w:bookmarkEnd w:id="11"/>
    <w:p w14:paraId="4898D0C4" w14:textId="77777777" w:rsidR="00D44179" w:rsidRDefault="00D44179" w:rsidP="00D44179">
      <w:pPr>
        <w:pStyle w:val="rovezanadpis"/>
        <w:ind w:left="709" w:hanging="709"/>
      </w:pPr>
      <w:r w:rsidRPr="00384072">
        <w:t>Za den platby se považuje den, kdy došlo k jejímu odepsání z účtu kupujícího.</w:t>
      </w:r>
    </w:p>
    <w:p w14:paraId="298DD6AE" w14:textId="21106D61" w:rsidR="00D44179" w:rsidRDefault="002310DA" w:rsidP="00972F65">
      <w:pPr>
        <w:pStyle w:val="rovezanadpis"/>
        <w:ind w:left="709" w:hanging="709"/>
      </w:pPr>
      <w:r>
        <w:t>Veškeré</w:t>
      </w:r>
      <w:r w:rsidRPr="00BD4390">
        <w:t xml:space="preserve"> daňové</w:t>
      </w:r>
      <w:r>
        <w:t xml:space="preserve"> doklady musí obsahovat </w:t>
      </w:r>
      <w:r w:rsidRPr="00BD4390">
        <w:t>povinné</w:t>
      </w:r>
      <w:r>
        <w:t xml:space="preserve"> </w:t>
      </w:r>
      <w:r w:rsidRPr="00BD4390">
        <w:t>náležitosti daňového dokladu</w:t>
      </w:r>
      <w:r>
        <w:t xml:space="preserve"> </w:t>
      </w:r>
      <w:bookmarkStart w:id="12" w:name="_Hlk42210871"/>
      <w:r w:rsidRPr="00BD4390">
        <w:t>dle zákona č. 235/2004 Sb., o dani z</w:t>
      </w:r>
      <w:r>
        <w:t xml:space="preserve"> </w:t>
      </w:r>
      <w:r w:rsidRPr="00BD4390">
        <w:t>přidané hodnoty, v</w:t>
      </w:r>
      <w:r>
        <w:t>e</w:t>
      </w:r>
      <w:r w:rsidRPr="00BD4390">
        <w:t xml:space="preserve"> znění</w:t>
      </w:r>
      <w:r>
        <w:t xml:space="preserve"> pozdějších předpisů</w:t>
      </w:r>
      <w:r w:rsidRPr="00BD4390">
        <w:t>,</w:t>
      </w:r>
      <w:r>
        <w:t xml:space="preserve"> </w:t>
      </w:r>
      <w:bookmarkStart w:id="13" w:name="_Hlk42210959"/>
      <w:bookmarkEnd w:id="12"/>
      <w:r w:rsidRPr="00961CEB">
        <w:t>název projektu „</w:t>
      </w:r>
      <w:r w:rsidR="00B61C0C" w:rsidRPr="00B61C0C">
        <w:t xml:space="preserve">Modernizace zařízení a vybavení škol </w:t>
      </w:r>
      <w:proofErr w:type="gramStart"/>
      <w:r w:rsidR="00B61C0C" w:rsidRPr="00B61C0C">
        <w:t>P14 - učebny</w:t>
      </w:r>
      <w:proofErr w:type="gramEnd"/>
      <w:r w:rsidR="00B61C0C" w:rsidRPr="00B61C0C">
        <w:t xml:space="preserve"> ZŠ I.</w:t>
      </w:r>
      <w:r w:rsidRPr="00761786">
        <w:t xml:space="preserve">“, registrační číslo projektu </w:t>
      </w:r>
      <w:r w:rsidRPr="00961CEB">
        <w:t>„</w:t>
      </w:r>
      <w:r w:rsidR="00B61C0C" w:rsidRPr="00B61C0C">
        <w:t>CZ.07.4.67/0.0/0.0/17_054/0001118</w:t>
      </w:r>
      <w:r w:rsidRPr="00761786">
        <w:t>“</w:t>
      </w:r>
      <w:r>
        <w:t xml:space="preserve"> </w:t>
      </w:r>
      <w:r w:rsidRPr="00761786">
        <w:t xml:space="preserve">a název veřejné zakázky, </w:t>
      </w:r>
      <w:bookmarkEnd w:id="13"/>
      <w:r>
        <w:t>n</w:t>
      </w:r>
      <w:r w:rsidRPr="00BD4390">
        <w:t>áležitosti uvedené v této smlouvě,</w:t>
      </w:r>
      <w:r>
        <w:t xml:space="preserve"> </w:t>
      </w:r>
      <w:r w:rsidRPr="00BD4390">
        <w:t xml:space="preserve">případně i další náležitosti, jejichž požadavek </w:t>
      </w:r>
      <w:r>
        <w:t>kupující</w:t>
      </w:r>
      <w:r w:rsidRPr="00BD4390">
        <w:t xml:space="preserve"> písemně sdělí </w:t>
      </w:r>
      <w:r>
        <w:t>prodávajícímu</w:t>
      </w:r>
      <w:r w:rsidRPr="00BD4390">
        <w:t xml:space="preserve"> po podp</w:t>
      </w:r>
      <w:r>
        <w:t xml:space="preserve">isu této smlouvy. V případě, že </w:t>
      </w:r>
      <w:r w:rsidRPr="00BD4390">
        <w:t>daňové</w:t>
      </w:r>
      <w:r>
        <w:t xml:space="preserve"> </w:t>
      </w:r>
      <w:r w:rsidRPr="00BD4390">
        <w:t xml:space="preserve">doklady nebudou obsahovat požadované náležitosti, je </w:t>
      </w:r>
      <w:r>
        <w:t>kupující</w:t>
      </w:r>
      <w:r w:rsidRPr="00BD4390">
        <w:t xml:space="preserve"> oprávněn je vrátit zpět k doplnění, lhůta splatnosti počne běžet zno</w:t>
      </w:r>
      <w:r>
        <w:t xml:space="preserve">vu od doručení řádně opraveného </w:t>
      </w:r>
      <w:r w:rsidRPr="00BD4390">
        <w:t>daňového</w:t>
      </w:r>
      <w:r>
        <w:t xml:space="preserve"> </w:t>
      </w:r>
      <w:r w:rsidRPr="00BD4390">
        <w:t>dokladu</w:t>
      </w:r>
      <w:r w:rsidR="00D44179" w:rsidRPr="00DB162D">
        <w:t>.</w:t>
      </w:r>
      <w:r w:rsidR="00D44179">
        <w:t xml:space="preserve"> </w:t>
      </w:r>
    </w:p>
    <w:p w14:paraId="3FD8CD9D" w14:textId="77777777" w:rsidR="00D44179" w:rsidRPr="00127C39" w:rsidRDefault="00D44179" w:rsidP="00D44179">
      <w:pPr>
        <w:pStyle w:val="Nadpis1"/>
      </w:pPr>
      <w:r w:rsidRPr="00127C39">
        <w:lastRenderedPageBreak/>
        <w:t>Záruka, vady, reklamace</w:t>
      </w:r>
      <w:r w:rsidR="002F4A14">
        <w:t>, pojištění</w:t>
      </w:r>
    </w:p>
    <w:p w14:paraId="7B54C5B7" w14:textId="6A4B6A11" w:rsidR="00D44179" w:rsidRPr="00B63229" w:rsidRDefault="00B979D4" w:rsidP="00B979D4">
      <w:pPr>
        <w:pStyle w:val="rovezanadpis"/>
        <w:tabs>
          <w:tab w:val="clear" w:pos="1021"/>
        </w:tabs>
        <w:ind w:left="709" w:hanging="709"/>
        <w:rPr>
          <w:b/>
          <w:bCs/>
        </w:rPr>
      </w:pPr>
      <w:r w:rsidRPr="00384072">
        <w:t xml:space="preserve">Délka záruční doby na dodávku je stanovená na </w:t>
      </w:r>
      <w:r>
        <w:t>24</w:t>
      </w:r>
      <w:r w:rsidRPr="00384072">
        <w:t xml:space="preserve"> měsíců ode</w:t>
      </w:r>
      <w:r>
        <w:t xml:space="preserve"> dne převzetí dodávky kupujícím, pokud není v příloze této smlouvy uvedena jiná záruční doba.</w:t>
      </w:r>
      <w:r w:rsidRPr="00502286">
        <w:t xml:space="preserve"> Záruční doba neběží po dobu, po kterou nemůže </w:t>
      </w:r>
      <w:r>
        <w:t>k</w:t>
      </w:r>
      <w:r w:rsidRPr="00502286">
        <w:t xml:space="preserve">upující </w:t>
      </w:r>
      <w:r>
        <w:t>d</w:t>
      </w:r>
      <w:r w:rsidRPr="00502286">
        <w:t>odávku řádně užívat pro vady, za</w:t>
      </w:r>
      <w:r>
        <w:t> </w:t>
      </w:r>
      <w:r w:rsidRPr="00502286">
        <w:t xml:space="preserve">které nese odpovědnost </w:t>
      </w:r>
      <w:r>
        <w:t>p</w:t>
      </w:r>
      <w:r w:rsidRPr="00502286">
        <w:t>rodávající.</w:t>
      </w:r>
      <w:r>
        <w:t xml:space="preserve"> </w:t>
      </w:r>
      <w:bookmarkStart w:id="14" w:name="_Hlk48343770"/>
      <w:r w:rsidR="00D44179">
        <w:t>Po záruční dobu garantuje prodávající kupujícímu, že zboží bude vykazovat vlastnosti odpovídající sjednanému účelu koupě.</w:t>
      </w:r>
    </w:p>
    <w:p w14:paraId="76C2C03F" w14:textId="77777777" w:rsidR="00D5517B" w:rsidRPr="00502286" w:rsidRDefault="00D5517B" w:rsidP="00D5517B">
      <w:pPr>
        <w:pStyle w:val="rovezanadpis"/>
        <w:ind w:left="709" w:hanging="709"/>
      </w:pPr>
      <w:bookmarkStart w:id="15" w:name="_Hlk48343982"/>
      <w:bookmarkEnd w:id="14"/>
      <w:r w:rsidRPr="00327EF1">
        <w:t xml:space="preserve">Kupující je povinen prohlédnout </w:t>
      </w:r>
      <w:r>
        <w:t>d</w:t>
      </w:r>
      <w:r w:rsidRPr="00327EF1">
        <w:t xml:space="preserve">odávku v den předání a převzetí v rozsahu znalostí rozhodných pro uživatele </w:t>
      </w:r>
      <w:r>
        <w:t>d</w:t>
      </w:r>
      <w:r w:rsidRPr="00327EF1">
        <w:t>odávky. V případě zjištěných vad či rozporu s</w:t>
      </w:r>
      <w:r>
        <w:t xml:space="preserve"> podanou </w:t>
      </w:r>
      <w:r w:rsidRPr="00327EF1">
        <w:t xml:space="preserve">nabídkou </w:t>
      </w:r>
      <w:r>
        <w:t>p</w:t>
      </w:r>
      <w:r w:rsidRPr="00327EF1">
        <w:t>rodávajícího</w:t>
      </w:r>
      <w:r>
        <w:t xml:space="preserve"> v rámci zadávacího řízení</w:t>
      </w:r>
      <w:r w:rsidRPr="00327EF1">
        <w:t xml:space="preserve"> či požadovanou technickou specifikací, může </w:t>
      </w:r>
      <w:r>
        <w:t>k</w:t>
      </w:r>
      <w:r w:rsidRPr="00327EF1">
        <w:t xml:space="preserve">upující odmítnout převzetí </w:t>
      </w:r>
      <w:r>
        <w:t>d</w:t>
      </w:r>
      <w:r w:rsidRPr="00327EF1">
        <w:t xml:space="preserve">odávky. V případě odmítnutí převzetí </w:t>
      </w:r>
      <w:r>
        <w:t>d</w:t>
      </w:r>
      <w:r w:rsidRPr="00327EF1">
        <w:t xml:space="preserve">odávky sdělí </w:t>
      </w:r>
      <w:r>
        <w:t>k</w:t>
      </w:r>
      <w:r w:rsidRPr="00327EF1">
        <w:t xml:space="preserve">upující neprodleně písemně vady </w:t>
      </w:r>
      <w:r>
        <w:t>d</w:t>
      </w:r>
      <w:r w:rsidRPr="00327EF1">
        <w:t>odávky či zjištěný rozpor s</w:t>
      </w:r>
      <w:r>
        <w:t xml:space="preserve"> podanou </w:t>
      </w:r>
      <w:r w:rsidRPr="00327EF1">
        <w:t xml:space="preserve">nabídkou </w:t>
      </w:r>
      <w:r>
        <w:t>p</w:t>
      </w:r>
      <w:r w:rsidRPr="00327EF1">
        <w:t xml:space="preserve">rodávajícího a poskytne </w:t>
      </w:r>
      <w:r>
        <w:t>p</w:t>
      </w:r>
      <w:r w:rsidRPr="00327EF1">
        <w:t xml:space="preserve">rodávajícímu lhůtu k nápravě v délce trvání 10 pracovních dní ode dne doručení sdělení. Pokud v této lhůtě </w:t>
      </w:r>
      <w:r>
        <w:t>p</w:t>
      </w:r>
      <w:r w:rsidRPr="00327EF1">
        <w:t xml:space="preserve">rodávající neprovede potřebné opravy vad </w:t>
      </w:r>
      <w:r>
        <w:t>d</w:t>
      </w:r>
      <w:r w:rsidRPr="00327EF1">
        <w:t xml:space="preserve">odávky či uvedení </w:t>
      </w:r>
      <w:r>
        <w:t>d</w:t>
      </w:r>
      <w:r w:rsidRPr="00327EF1">
        <w:t>odávky do souladu s</w:t>
      </w:r>
      <w:r>
        <w:t xml:space="preserve"> podanou </w:t>
      </w:r>
      <w:r w:rsidRPr="00327EF1">
        <w:t xml:space="preserve">nabídkou, či technickou specifikací, je </w:t>
      </w:r>
      <w:r>
        <w:t>toto prodlení považováno za podstatné porušení smlouvy.</w:t>
      </w:r>
    </w:p>
    <w:p w14:paraId="7E31FAD5" w14:textId="77777777" w:rsidR="00D44179" w:rsidRDefault="00D44179" w:rsidP="00D44179">
      <w:pPr>
        <w:pStyle w:val="rovezanadpis"/>
        <w:tabs>
          <w:tab w:val="left" w:pos="709"/>
        </w:tabs>
        <w:ind w:left="709" w:hanging="709"/>
        <w:rPr>
          <w:b/>
          <w:bCs/>
        </w:rPr>
      </w:pPr>
      <w:r>
        <w:t>V případě, že kupující během záruční doby zjistí, že výrobek vykazuje vady, pro které nemůže zařízení řádné užívat, pak má kupující právo při (nebo po) písemném uplatnění nároku z odpovědnosti vad určit mezi následujícími možnosti uspokojení nároky kupujícího vyplývající z vadného plnění poskytnutého prodávajícím:</w:t>
      </w:r>
    </w:p>
    <w:p w14:paraId="5E70B93C" w14:textId="77777777" w:rsidR="00D44179" w:rsidRPr="00B63229" w:rsidRDefault="00D44179" w:rsidP="00D44179">
      <w:pPr>
        <w:pStyle w:val="Styl2"/>
        <w:numPr>
          <w:ilvl w:val="2"/>
          <w:numId w:val="4"/>
        </w:numPr>
        <w:ind w:left="709" w:hanging="283"/>
        <w:rPr>
          <w:b/>
        </w:rPr>
      </w:pPr>
      <w:r>
        <w:t>odstranění vad dodáním náhradní věci či náhradní části věci,</w:t>
      </w:r>
    </w:p>
    <w:p w14:paraId="257F1661" w14:textId="77777777" w:rsidR="00D44179" w:rsidRPr="00B63229" w:rsidRDefault="00D44179" w:rsidP="00D44179">
      <w:pPr>
        <w:pStyle w:val="Styl2"/>
        <w:numPr>
          <w:ilvl w:val="2"/>
          <w:numId w:val="4"/>
        </w:numPr>
        <w:ind w:left="709" w:hanging="283"/>
        <w:rPr>
          <w:b/>
        </w:rPr>
      </w:pPr>
      <w:r>
        <w:t>dodání chybějící věci či chybějící části věci,</w:t>
      </w:r>
    </w:p>
    <w:p w14:paraId="178A4A14" w14:textId="77777777" w:rsidR="00D44179" w:rsidRPr="00B63229" w:rsidRDefault="00D44179" w:rsidP="00D44179">
      <w:pPr>
        <w:pStyle w:val="Styl2"/>
        <w:numPr>
          <w:ilvl w:val="2"/>
          <w:numId w:val="4"/>
        </w:numPr>
        <w:ind w:left="709" w:hanging="283"/>
        <w:rPr>
          <w:b/>
        </w:rPr>
      </w:pPr>
      <w:r>
        <w:t>odstranění vad věci či vad části věci opravou věci či opravou části věci,</w:t>
      </w:r>
    </w:p>
    <w:p w14:paraId="2F4895A4" w14:textId="77777777" w:rsidR="00D44179" w:rsidRPr="00B63229" w:rsidRDefault="00D44179" w:rsidP="00D44179">
      <w:pPr>
        <w:pStyle w:val="Styl2"/>
        <w:numPr>
          <w:ilvl w:val="2"/>
          <w:numId w:val="4"/>
        </w:numPr>
        <w:ind w:left="709" w:hanging="283"/>
        <w:rPr>
          <w:b/>
        </w:rPr>
      </w:pPr>
      <w:r>
        <w:t>poskytnutí přiměřené slevy z kupní ceny nebo</w:t>
      </w:r>
    </w:p>
    <w:p w14:paraId="0EA18D26" w14:textId="77777777" w:rsidR="00D44179" w:rsidRPr="00B63229" w:rsidRDefault="00D44179" w:rsidP="00D44179">
      <w:pPr>
        <w:pStyle w:val="Styl2"/>
        <w:numPr>
          <w:ilvl w:val="2"/>
          <w:numId w:val="4"/>
        </w:numPr>
        <w:ind w:left="709" w:hanging="283"/>
        <w:rPr>
          <w:b/>
        </w:rPr>
      </w:pPr>
      <w:r>
        <w:t>odstoupení od smlouvy.</w:t>
      </w:r>
    </w:p>
    <w:bookmarkEnd w:id="15"/>
    <w:p w14:paraId="66B092BD" w14:textId="7998CDF9" w:rsidR="00D44179" w:rsidRDefault="007B01CB" w:rsidP="00D44179">
      <w:pPr>
        <w:pStyle w:val="rovezanadpis"/>
        <w:tabs>
          <w:tab w:val="clear" w:pos="1021"/>
          <w:tab w:val="left" w:pos="709"/>
        </w:tabs>
        <w:ind w:left="709" w:hanging="709"/>
      </w:pPr>
      <w:r w:rsidRPr="00327EF1">
        <w:t>P</w:t>
      </w:r>
      <w:r>
        <w:t>o</w:t>
      </w:r>
      <w:r w:rsidRPr="00327EF1">
        <w:t xml:space="preserve"> </w:t>
      </w:r>
      <w:r>
        <w:t xml:space="preserve">písemném </w:t>
      </w:r>
      <w:r w:rsidRPr="00327EF1">
        <w:t>nahlášení vady v záruční době</w:t>
      </w:r>
      <w:r>
        <w:t xml:space="preserve"> kupujícím na e-mail prodávajícího: </w:t>
      </w:r>
      <w:r w:rsidRPr="001F173F">
        <w:rPr>
          <w:highlight w:val="yellow"/>
        </w:rPr>
        <w:t>[k doplnění]</w:t>
      </w:r>
      <w:r>
        <w:t xml:space="preserve"> </w:t>
      </w:r>
      <w:r w:rsidRPr="00327EF1">
        <w:t xml:space="preserve">je </w:t>
      </w:r>
      <w:r>
        <w:t>prodávající</w:t>
      </w:r>
      <w:r w:rsidRPr="00DB162D">
        <w:t xml:space="preserve"> </w:t>
      </w:r>
      <w:r>
        <w:t xml:space="preserve">povinen </w:t>
      </w:r>
      <w:r w:rsidRPr="00DB162D">
        <w:t>odstran</w:t>
      </w:r>
      <w:r>
        <w:t>it</w:t>
      </w:r>
      <w:r w:rsidRPr="00DB162D">
        <w:t xml:space="preserve"> reklamované vady v</w:t>
      </w:r>
      <w:r>
        <w:t xml:space="preserve"> co </w:t>
      </w:r>
      <w:r w:rsidRPr="00DB162D">
        <w:t>nejkratším termínu, nejdéle však v termínu dohodnutém s </w:t>
      </w:r>
      <w:r>
        <w:t>kupujícím</w:t>
      </w:r>
      <w:r w:rsidRPr="00DB162D">
        <w:t>.</w:t>
      </w:r>
      <w:r>
        <w:t xml:space="preserve"> </w:t>
      </w:r>
      <w:r w:rsidRPr="00DB162D">
        <w:t xml:space="preserve">Pokud se jedná o vadu omezující provoz, je </w:t>
      </w:r>
      <w:r>
        <w:t>prodávající</w:t>
      </w:r>
      <w:r w:rsidRPr="00DB162D">
        <w:t xml:space="preserve"> povinen ji </w:t>
      </w:r>
      <w:r w:rsidRPr="0084652A">
        <w:t xml:space="preserve">odstranit do 72 hodin od nahlášení. Jestliže </w:t>
      </w:r>
      <w:r>
        <w:t xml:space="preserve">se prodávající nedohodne s kupujícím na termínu odstranění reklamované vady nebo </w:t>
      </w:r>
      <w:r w:rsidRPr="0084652A">
        <w:t>prodávající neodstraní vadu v dohodnutém termínu, je kupující oprávněn na náklady</w:t>
      </w:r>
      <w:r w:rsidRPr="00DB162D">
        <w:t xml:space="preserve"> </w:t>
      </w:r>
      <w:r>
        <w:t>prodávajícího</w:t>
      </w:r>
      <w:r w:rsidRPr="00DB162D">
        <w:t xml:space="preserve"> vadu odstranit sám nebo za pomoci třetí osoby. </w:t>
      </w:r>
      <w:r>
        <w:t>Kupující</w:t>
      </w:r>
      <w:r w:rsidRPr="00DB162D">
        <w:t xml:space="preserve"> je povinen umožnit </w:t>
      </w:r>
      <w:r>
        <w:t>prodávajícímu</w:t>
      </w:r>
      <w:r w:rsidRPr="00DB162D">
        <w:t xml:space="preserve"> odstranění vady. </w:t>
      </w:r>
      <w:r>
        <w:t>Prodávající</w:t>
      </w:r>
      <w:r w:rsidRPr="00DB162D">
        <w:t xml:space="preserve"> je povinen nastoupit k odstranění vady i v případě, že reklamaci neuznává.</w:t>
      </w:r>
      <w:r>
        <w:t xml:space="preserve"> V případě neoprávněné reklamace má prodávající nárok na úhradu účelně vynaložených nákladů.</w:t>
      </w:r>
    </w:p>
    <w:p w14:paraId="1EFA55BF" w14:textId="77777777" w:rsidR="00D44179" w:rsidRPr="0049564D" w:rsidRDefault="00D44179" w:rsidP="00D44179">
      <w:pPr>
        <w:pStyle w:val="rovezanadpis"/>
        <w:tabs>
          <w:tab w:val="clear" w:pos="1021"/>
          <w:tab w:val="left" w:pos="709"/>
        </w:tabs>
        <w:ind w:left="709" w:hanging="709"/>
      </w:pPr>
      <w:r w:rsidRPr="00DB162D">
        <w:t xml:space="preserve">Oznámení o </w:t>
      </w:r>
      <w:r w:rsidRPr="007F2A6C">
        <w:t xml:space="preserve">ukončení odstranění vady a předání provedené opravy </w:t>
      </w:r>
      <w:r>
        <w:t>kupujícímu</w:t>
      </w:r>
      <w:r w:rsidRPr="007F2A6C">
        <w:t xml:space="preserve"> provede </w:t>
      </w:r>
      <w:r>
        <w:t>prodávající</w:t>
      </w:r>
      <w:r w:rsidRPr="007F2A6C">
        <w:t xml:space="preserve"> protokolárně. </w:t>
      </w:r>
    </w:p>
    <w:p w14:paraId="04B8483F" w14:textId="09680F37" w:rsidR="00D44179" w:rsidRPr="00B63229" w:rsidRDefault="000373FD" w:rsidP="00D44179">
      <w:pPr>
        <w:pStyle w:val="rovezanadpis"/>
        <w:ind w:left="709" w:hanging="709"/>
        <w:rPr>
          <w:b/>
          <w:bCs/>
        </w:rPr>
      </w:pPr>
      <w:r w:rsidRPr="00384072">
        <w:t>Vady, poruchy nebo reklamace všech položek dodávky kupující uplatňuje přímo u prodávajícího písemnou formou</w:t>
      </w:r>
      <w:r>
        <w:t>, přičemž za písemnou formu je považován i e-mail</w:t>
      </w:r>
      <w:r w:rsidRPr="00384072">
        <w:t>.</w:t>
      </w:r>
      <w:r>
        <w:t xml:space="preserve"> V případě, že dojde ke změně doručovací adresy na straně prodávajícího, je tento povinen tuto změnu bez zbytečného odkladu písemně oznámit kupujícímu</w:t>
      </w:r>
      <w:r w:rsidR="00D44179">
        <w:t>.</w:t>
      </w:r>
    </w:p>
    <w:p w14:paraId="2CB853C8" w14:textId="77777777" w:rsidR="00D44179" w:rsidRPr="002F4A14" w:rsidRDefault="00D44179" w:rsidP="00D44179">
      <w:pPr>
        <w:pStyle w:val="rovezanadpis"/>
        <w:ind w:left="709" w:hanging="709"/>
        <w:rPr>
          <w:b/>
          <w:bCs/>
        </w:rPr>
      </w:pPr>
      <w:bookmarkStart w:id="16" w:name="_Hlk48343857"/>
      <w:r>
        <w:rPr>
          <w:bCs/>
        </w:rPr>
        <w:t>Poruší-li prodávající povinnost dodat zboží řádně zabalené, včas a v náležitém množství a kvalitě, vyhrazuje si kupující právo odmítnout zboží převzít.</w:t>
      </w:r>
    </w:p>
    <w:p w14:paraId="3672F0A8" w14:textId="77777777" w:rsidR="002F4A14" w:rsidRPr="002F4A14" w:rsidRDefault="002F4A14" w:rsidP="002F4A14">
      <w:pPr>
        <w:pStyle w:val="rovezanadpis"/>
        <w:tabs>
          <w:tab w:val="left" w:pos="709"/>
        </w:tabs>
        <w:ind w:left="709" w:hanging="709"/>
      </w:pPr>
      <w:bookmarkStart w:id="17" w:name="_Ref459372254"/>
      <w:bookmarkEnd w:id="16"/>
      <w:r>
        <w:lastRenderedPageBreak/>
        <w:t>Prodávající</w:t>
      </w:r>
      <w:r w:rsidRPr="006B53FB">
        <w:t xml:space="preserve"> </w:t>
      </w:r>
      <w:r>
        <w:t>se zavazuje</w:t>
      </w:r>
      <w:r w:rsidRPr="006B53FB">
        <w:t xml:space="preserve">, že </w:t>
      </w:r>
      <w:r>
        <w:t xml:space="preserve">bude mít </w:t>
      </w:r>
      <w:r w:rsidRPr="006B53FB">
        <w:t xml:space="preserve">ke dni </w:t>
      </w:r>
      <w:r>
        <w:t>zahájení dodávky</w:t>
      </w:r>
      <w:r w:rsidRPr="006B53FB">
        <w:t xml:space="preserve"> uzavřenou pojistnou smlouvu proti škodám způsobeným činností </w:t>
      </w:r>
      <w:r>
        <w:t>prodávajícího</w:t>
      </w:r>
      <w:r w:rsidRPr="006B53FB">
        <w:t xml:space="preserve"> včetně možných škod způsobených pracovníky </w:t>
      </w:r>
      <w:r>
        <w:t>prodávajícího</w:t>
      </w:r>
      <w:r w:rsidRPr="006B53FB">
        <w:t>, a to</w:t>
      </w:r>
      <w:r>
        <w:t xml:space="preserve"> minimální ve výši své nabídkové ceny</w:t>
      </w:r>
      <w:r w:rsidRPr="006B53FB">
        <w:t xml:space="preserve">. </w:t>
      </w:r>
      <w:r>
        <w:t>Prodávající</w:t>
      </w:r>
      <w:r w:rsidRPr="006B53FB">
        <w:t xml:space="preserve"> se zavazuje, že bude po celou dobu </w:t>
      </w:r>
      <w:r>
        <w:t>plnění</w:t>
      </w:r>
      <w:r w:rsidRPr="006B53FB">
        <w:t xml:space="preserve"> takto pojištěn. </w:t>
      </w:r>
      <w:bookmarkEnd w:id="17"/>
      <w:r>
        <w:t>Prodávající</w:t>
      </w:r>
      <w:r w:rsidRPr="006B53FB">
        <w:t xml:space="preserve"> předloží pojistnou smlouvu </w:t>
      </w:r>
      <w:r>
        <w:t>kupujícímu</w:t>
      </w:r>
      <w:r w:rsidRPr="006B53FB">
        <w:t xml:space="preserve"> </w:t>
      </w:r>
      <w:r>
        <w:t xml:space="preserve">před uzavřením této smlouvy a dále vždy </w:t>
      </w:r>
      <w:r w:rsidRPr="006B53FB">
        <w:t>na</w:t>
      </w:r>
      <w:r>
        <w:t> </w:t>
      </w:r>
      <w:r w:rsidRPr="006B53FB">
        <w:t>vyžádání.</w:t>
      </w:r>
    </w:p>
    <w:p w14:paraId="72871E11" w14:textId="77777777" w:rsidR="00D44179" w:rsidRPr="00127C39" w:rsidRDefault="002F4A14" w:rsidP="00D44179">
      <w:pPr>
        <w:pStyle w:val="Nadpis1"/>
      </w:pPr>
      <w:r>
        <w:t>S</w:t>
      </w:r>
      <w:r w:rsidR="00D44179" w:rsidRPr="00127C39">
        <w:t>ankce</w:t>
      </w:r>
    </w:p>
    <w:p w14:paraId="4499657E" w14:textId="77777777" w:rsidR="00D44179" w:rsidRPr="00384072" w:rsidRDefault="00D44179" w:rsidP="00D44179">
      <w:pPr>
        <w:pStyle w:val="rovezanadpis"/>
        <w:ind w:left="709" w:hanging="709"/>
      </w:pPr>
      <w:r>
        <w:t>V případě prodlení kupujícího s úhradou faktury má prodávající</w:t>
      </w:r>
      <w:r w:rsidRPr="00112D95">
        <w:t xml:space="preserve"> nárok účtovat úrok z prodlení ve výši 0,0</w:t>
      </w:r>
      <w:r>
        <w:t>5</w:t>
      </w:r>
      <w:r w:rsidRPr="00112D95">
        <w:t xml:space="preserve"> % z </w:t>
      </w:r>
      <w:r>
        <w:t>fakturované</w:t>
      </w:r>
      <w:r w:rsidRPr="00112D95">
        <w:t xml:space="preserve"> částky bez DPH za každý den prodlení.</w:t>
      </w:r>
    </w:p>
    <w:p w14:paraId="4BD75B3B" w14:textId="77777777" w:rsidR="00D44179" w:rsidRDefault="00D44179" w:rsidP="00D44179">
      <w:pPr>
        <w:pStyle w:val="rovezanadpis"/>
        <w:ind w:left="709" w:hanging="709"/>
      </w:pPr>
      <w:r>
        <w:t>V případě prodlení prodávajícího s dodáním je prodávající povinen zaplatit kupujícímu</w:t>
      </w:r>
      <w:r w:rsidRPr="00112D95">
        <w:t xml:space="preserve"> smluvní pokutu ve výši 0,</w:t>
      </w:r>
      <w:r>
        <w:t>1</w:t>
      </w:r>
      <w:r w:rsidRPr="00112D95">
        <w:t xml:space="preserve"> % z </w:t>
      </w:r>
      <w:r>
        <w:t>celé</w:t>
      </w:r>
      <w:r w:rsidRPr="00112D95">
        <w:t xml:space="preserve"> částky bez DPH za každý započatý den prodlení. </w:t>
      </w:r>
    </w:p>
    <w:p w14:paraId="5E64C96C" w14:textId="77777777" w:rsidR="004D03FA" w:rsidRDefault="004D03FA" w:rsidP="004D03FA">
      <w:pPr>
        <w:pStyle w:val="rovezanadpis"/>
        <w:ind w:left="709" w:hanging="709"/>
      </w:pPr>
      <w:bookmarkStart w:id="18" w:name="_Hlk42211225"/>
      <w:r w:rsidRPr="00DB162D">
        <w:t xml:space="preserve">V případě prodlení </w:t>
      </w:r>
      <w:r>
        <w:t>prodávajícího</w:t>
      </w:r>
      <w:r w:rsidRPr="00DB162D">
        <w:t xml:space="preserve"> s odstraněním vady uvedené v protokolu o předání a převzetí ve sjednaném termínu je </w:t>
      </w:r>
      <w:r>
        <w:t>prodávající</w:t>
      </w:r>
      <w:r w:rsidRPr="00DB162D">
        <w:t xml:space="preserve"> povinen zaplatit </w:t>
      </w:r>
      <w:r>
        <w:t>kupujícímu</w:t>
      </w:r>
      <w:r w:rsidRPr="00DB162D">
        <w:t xml:space="preserve"> smluvní </w:t>
      </w:r>
      <w:r w:rsidRPr="0084652A">
        <w:t xml:space="preserve">pokutu </w:t>
      </w:r>
      <w:r w:rsidRPr="00DB162D">
        <w:t>ve výši 1.000 Kč za každou jednotlivou vadu a každý i jen započatý den prodlení</w:t>
      </w:r>
      <w:r>
        <w:t>.</w:t>
      </w:r>
    </w:p>
    <w:bookmarkEnd w:id="18"/>
    <w:p w14:paraId="5B900FDF" w14:textId="77777777" w:rsidR="004D03FA" w:rsidRPr="00384072" w:rsidRDefault="004D03FA" w:rsidP="004D03FA">
      <w:pPr>
        <w:pStyle w:val="rovezanadpis"/>
        <w:ind w:left="709" w:hanging="709"/>
      </w:pPr>
      <w:r w:rsidRPr="00DB162D">
        <w:t xml:space="preserve">V případě prodlení </w:t>
      </w:r>
      <w:r>
        <w:t>prodávajícího</w:t>
      </w:r>
      <w:r w:rsidRPr="00DB162D">
        <w:t xml:space="preserve"> s odstraněním nahlášené reklamace ve sjednaném termínu je </w:t>
      </w:r>
      <w:r>
        <w:t>prodávající</w:t>
      </w:r>
      <w:r w:rsidRPr="00DB162D">
        <w:t xml:space="preserve"> povinen zaplatit </w:t>
      </w:r>
      <w:r>
        <w:t>kupujícímu</w:t>
      </w:r>
      <w:r w:rsidRPr="00DB162D">
        <w:t xml:space="preserve"> smluvní </w:t>
      </w:r>
      <w:r w:rsidRPr="0084652A">
        <w:t>pokutu ve výši 1.000 Kč za</w:t>
      </w:r>
      <w:r>
        <w:t> </w:t>
      </w:r>
      <w:r w:rsidRPr="00DB162D">
        <w:t>každou reklamovanou vadu a za každý</w:t>
      </w:r>
      <w:r>
        <w:t xml:space="preserve"> i jen</w:t>
      </w:r>
      <w:r w:rsidRPr="00DB162D">
        <w:t xml:space="preserve"> započatý den prodlení</w:t>
      </w:r>
      <w:r>
        <w:t>.</w:t>
      </w:r>
    </w:p>
    <w:p w14:paraId="177BC683" w14:textId="77777777" w:rsidR="00D44179" w:rsidRPr="00384072" w:rsidRDefault="00D44179" w:rsidP="00D44179">
      <w:pPr>
        <w:pStyle w:val="rovezanadpis"/>
        <w:ind w:left="709" w:hanging="709"/>
        <w:rPr>
          <w:b/>
          <w:bCs/>
        </w:rPr>
      </w:pPr>
      <w:r w:rsidRPr="00384072">
        <w:t>Zaplacením výše uvedených smluvních pokut není dotčen nárok na náhradu škody.</w:t>
      </w:r>
    </w:p>
    <w:p w14:paraId="027B53A1" w14:textId="77777777" w:rsidR="00D44179" w:rsidRPr="00384072" w:rsidRDefault="00D44179" w:rsidP="00D44179">
      <w:pPr>
        <w:pStyle w:val="rovezanadpis"/>
        <w:ind w:left="709" w:hanging="709"/>
        <w:rPr>
          <w:b/>
          <w:bCs/>
        </w:rPr>
      </w:pPr>
      <w:r w:rsidRPr="00384072">
        <w:t>Jiné smluvní pokuty nejsou přípustné.</w:t>
      </w:r>
    </w:p>
    <w:p w14:paraId="5043F844" w14:textId="77777777" w:rsidR="00D44179" w:rsidRPr="00384072" w:rsidRDefault="00D44179" w:rsidP="00D44179">
      <w:pPr>
        <w:pStyle w:val="rovezanadpis"/>
        <w:ind w:left="709" w:hanging="709"/>
      </w:pPr>
      <w:r w:rsidRPr="00384072">
        <w:t xml:space="preserve">Sankci (smluvní pokutu, úrok z prodlení) vyúčtuje oprávněná strana straně povinné písemnou formou. Strana povinná je povinna uhradit </w:t>
      </w:r>
      <w:r>
        <w:t>vyúčtované sankce nejpozději do 3</w:t>
      </w:r>
      <w:r w:rsidRPr="00384072">
        <w:t>0 kalendářních dnů ode dne obdržení příslušného vyúčtování.</w:t>
      </w:r>
      <w:r>
        <w:t xml:space="preserve"> Kupující si vyhrazuje právo započítat vyúčtované a neuhrazené smluvní pokuty a úroky z prodlení proti neuhrazené faktuře vydané prodávajícím.</w:t>
      </w:r>
    </w:p>
    <w:p w14:paraId="5A982C0F" w14:textId="77777777" w:rsidR="00D44179" w:rsidRPr="00127C39" w:rsidRDefault="00D44179" w:rsidP="00D44179">
      <w:pPr>
        <w:pStyle w:val="Nadpis1"/>
      </w:pPr>
      <w:r w:rsidRPr="00127C39">
        <w:t>Další ujednání</w:t>
      </w:r>
    </w:p>
    <w:p w14:paraId="1ADF26C0" w14:textId="73A08556" w:rsidR="00D44179" w:rsidRDefault="00FB3BC5" w:rsidP="00D44179">
      <w:pPr>
        <w:pStyle w:val="rovezanadpis"/>
        <w:ind w:left="709" w:hanging="709"/>
      </w:pPr>
      <w:r>
        <w:t xml:space="preserve">Prodávající se zavazuje, že dodá zboží dle své nabídky podané v rámci zadávacího řízení </w:t>
      </w:r>
      <w:r w:rsidR="00D44179">
        <w:t>„</w:t>
      </w:r>
      <w:r w:rsidR="0030626A" w:rsidRPr="0030626A">
        <w:t>Vybudování odborných učeben na základních školách</w:t>
      </w:r>
      <w:r w:rsidR="00613A20">
        <w:t xml:space="preserve"> – opakované řízení</w:t>
      </w:r>
      <w:r w:rsidR="0030626A">
        <w:t>, část 1 – IT vybavení“</w:t>
      </w:r>
      <w:r w:rsidR="00D44179">
        <w:t xml:space="preserve"> </w:t>
      </w:r>
      <w:r>
        <w:t>a</w:t>
      </w:r>
      <w:r w:rsidR="0030626A">
        <w:t> </w:t>
      </w:r>
      <w:r>
        <w:t>dle zadávací dokumentace k tomuto zadávacímu řízení</w:t>
      </w:r>
      <w:r w:rsidR="00D44179">
        <w:t xml:space="preserve">. Po domluvě s kupujícím lze dodat i jiné zboží stejného nebo lepšího </w:t>
      </w:r>
      <w:proofErr w:type="gramStart"/>
      <w:r w:rsidR="00D44179">
        <w:t>standardu</w:t>
      </w:r>
      <w:proofErr w:type="gramEnd"/>
      <w:r w:rsidRPr="00FB3BC5">
        <w:t xml:space="preserve"> </w:t>
      </w:r>
      <w:r>
        <w:t>než je uveden v položkovém rozpočtu včetně specifikace</w:t>
      </w:r>
      <w:r w:rsidR="00D44179">
        <w:t>.</w:t>
      </w:r>
      <w:r w:rsidR="000D7C84">
        <w:t xml:space="preserve"> Ve výjimečných případech, které nemohly být předem známy, lze po zdůvodnění a odsouhlasení ze strany kupujícího provést částečné úpravy technické specifikace, nikdy však nesmí dojít k dodání zboží horšího standardu, než byl uveden v zadávací dokumentaci k veřejné zakázce.</w:t>
      </w:r>
    </w:p>
    <w:p w14:paraId="12C84098" w14:textId="39083763" w:rsidR="00D94162" w:rsidRDefault="00D94162" w:rsidP="00D44179">
      <w:pPr>
        <w:pStyle w:val="rovezanadpis"/>
        <w:ind w:left="709" w:hanging="709"/>
      </w:pPr>
      <w:bookmarkStart w:id="19" w:name="_Hlk48344234"/>
      <w:r>
        <w:t>Prodávající si je vědom, že v místě plnění může zároveň plnit své povinnosti více subjektů na základě smluv uzavřených s kupujícím, a tímto se zavazuje, že tyto další subjekty nebude omezovat v jejich činnosti a že bude respektovat pokyny kupujícího vydané pro koordinaci činností všech dodavatelů v místě plnění. Prodávající výslovně prohlašuje, že je připraven koordinovat provádění díla s dalšími dodavateli, kteří se budou účastnit realizace projektu v místech plnění.</w:t>
      </w:r>
    </w:p>
    <w:p w14:paraId="7DDE4B6B" w14:textId="17136598" w:rsidR="00D44179" w:rsidRPr="00E752B8" w:rsidRDefault="00D94162" w:rsidP="00D44179">
      <w:pPr>
        <w:pStyle w:val="rovezanadpis"/>
        <w:ind w:left="709" w:hanging="709"/>
      </w:pPr>
      <w:r w:rsidRPr="00384072">
        <w:lastRenderedPageBreak/>
        <w:t>Prodávající se zavazuje předat kupujícímu spolu s předmětným zbožím i doklady</w:t>
      </w:r>
      <w:r>
        <w:t xml:space="preserve"> (popř. i čestná prohlášení)</w:t>
      </w:r>
      <w:r w:rsidRPr="00384072">
        <w:t xml:space="preserve">, </w:t>
      </w:r>
      <w:r w:rsidRPr="000367E4">
        <w:t xml:space="preserve">kterými </w:t>
      </w:r>
      <w:r>
        <w:t>potvrdí</w:t>
      </w:r>
      <w:r w:rsidRPr="000367E4">
        <w:t xml:space="preserve">, že jednotlivé dodané prvky odpovídají specifikaci uvedené </w:t>
      </w:r>
      <w:r>
        <w:t>v položkovém rozpočtu včetně specifikace</w:t>
      </w:r>
      <w:r w:rsidRPr="000367E4">
        <w:t xml:space="preserve">, který je součástí </w:t>
      </w:r>
      <w:r>
        <w:t>této smlouvy,</w:t>
      </w:r>
      <w:r w:rsidRPr="000367E4">
        <w:t xml:space="preserve"> a</w:t>
      </w:r>
      <w:r>
        <w:t> </w:t>
      </w:r>
      <w:r w:rsidRPr="000367E4">
        <w:t>dále doklady, které se ke zboží vztahují a jsou potřebné k jeho řádnému užívání, zejména návod k obsluze v českém jazyce a prohlášení o shodě</w:t>
      </w:r>
      <w:r w:rsidR="00D44179">
        <w:t>.</w:t>
      </w:r>
    </w:p>
    <w:p w14:paraId="54004680" w14:textId="77777777" w:rsidR="00D44179" w:rsidRDefault="00D44179" w:rsidP="00D44179">
      <w:pPr>
        <w:pStyle w:val="rovezanadpis"/>
        <w:ind w:left="709" w:hanging="709"/>
      </w:pPr>
      <w:bookmarkStart w:id="20" w:name="_Hlk48344346"/>
      <w:bookmarkEnd w:id="19"/>
      <w:r w:rsidRPr="00384072">
        <w:t xml:space="preserve">Prodávající je oprávněn za účelem zajištění realizace veřejné zakázky poskytnout dodávky prostřednictvím svých </w:t>
      </w:r>
      <w:r>
        <w:t>pod</w:t>
      </w:r>
      <w:r w:rsidRPr="00384072">
        <w:t xml:space="preserve">dodavatelů. </w:t>
      </w:r>
      <w:r>
        <w:t>Prodávající je povinen zajistit, aby se na realizaci veřejné zakázky podíleli poddodavatelé, jejichž prostřednictvím prokazoval kvalifikaci v zadávacím řízení</w:t>
      </w:r>
      <w:r w:rsidRPr="00384072">
        <w:t>. V případě, že by prodávající hodlal provést</w:t>
      </w:r>
      <w:r>
        <w:t xml:space="preserve"> změnu</w:t>
      </w:r>
      <w:r w:rsidRPr="00384072">
        <w:t xml:space="preserve"> </w:t>
      </w:r>
      <w:r>
        <w:t>v osobě</w:t>
      </w:r>
      <w:r w:rsidRPr="00384072">
        <w:t xml:space="preserve"> </w:t>
      </w:r>
      <w:r>
        <w:t>pod</w:t>
      </w:r>
      <w:r w:rsidRPr="00384072">
        <w:t xml:space="preserve">dodavatele, prostřednictvím kterého prodávající prokazoval </w:t>
      </w:r>
      <w:r>
        <w:t xml:space="preserve">v zadávacím </w:t>
      </w:r>
      <w:r w:rsidRPr="00384072">
        <w:t xml:space="preserve">řízení kvalifikaci, </w:t>
      </w:r>
      <w:r>
        <w:t>musí nový poddodavatel splňovat</w:t>
      </w:r>
      <w:r w:rsidRPr="00384072">
        <w:t xml:space="preserve"> tytéž</w:t>
      </w:r>
      <w:r>
        <w:t xml:space="preserve"> kvalifikační předpoklady jako pod</w:t>
      </w:r>
      <w:r w:rsidRPr="00384072">
        <w:t>dodavatel původní</w:t>
      </w:r>
      <w:bookmarkEnd w:id="20"/>
      <w:r w:rsidRPr="00384072">
        <w:t>.</w:t>
      </w:r>
      <w:r>
        <w:t xml:space="preserve"> </w:t>
      </w:r>
    </w:p>
    <w:p w14:paraId="52BEAF63" w14:textId="77777777" w:rsidR="00D94162" w:rsidRDefault="00D94162" w:rsidP="00D44179">
      <w:pPr>
        <w:pStyle w:val="rovezanadpis"/>
        <w:tabs>
          <w:tab w:val="clear" w:pos="1021"/>
          <w:tab w:val="left" w:pos="709"/>
        </w:tabs>
        <w:ind w:left="709" w:hanging="709"/>
      </w:pPr>
      <w:r w:rsidRPr="002754C0">
        <w:rPr>
          <w:color w:val="auto"/>
        </w:rPr>
        <w:t>Prodávající se svými poddodavateli se zavazuje, že bude dodržovat striktní zákaz kouření v objektech školy</w:t>
      </w:r>
      <w:r>
        <w:t>.</w:t>
      </w:r>
    </w:p>
    <w:p w14:paraId="299D7571" w14:textId="72CA3776" w:rsidR="00D44179" w:rsidRDefault="00D44179" w:rsidP="00D44179">
      <w:pPr>
        <w:pStyle w:val="rovezanadpis"/>
        <w:tabs>
          <w:tab w:val="clear" w:pos="1021"/>
          <w:tab w:val="left" w:pos="709"/>
        </w:tabs>
        <w:ind w:left="709" w:hanging="709"/>
      </w:pPr>
      <w:r w:rsidRPr="00DB162D">
        <w:t xml:space="preserve">Postoupení nebo zastavení pohledávek </w:t>
      </w:r>
      <w:r>
        <w:t>prodávajícího</w:t>
      </w:r>
      <w:r w:rsidRPr="00DB162D">
        <w:t xml:space="preserve"> vůči </w:t>
      </w:r>
      <w:r>
        <w:t>kupujícímu</w:t>
      </w:r>
      <w:r w:rsidRPr="00DB162D">
        <w:t xml:space="preserve"> z této smlouvy je možné jen na základě předchozího písemného souhlasu </w:t>
      </w:r>
      <w:r>
        <w:t>kupujícího</w:t>
      </w:r>
      <w:r w:rsidRPr="00DB162D">
        <w:t>, jinak je takové postoupení nebo zastavení pohledávky neúčinné.</w:t>
      </w:r>
    </w:p>
    <w:p w14:paraId="18AF3AD5" w14:textId="77777777" w:rsidR="00D44179" w:rsidRPr="00BE2B19" w:rsidRDefault="00D44179" w:rsidP="00D44179">
      <w:pPr>
        <w:pStyle w:val="Nadpis1"/>
      </w:pPr>
      <w:r w:rsidRPr="00BE2B19">
        <w:t>Odstoupení od smlouvy</w:t>
      </w:r>
      <w:r>
        <w:t>, ukončení dohodou</w:t>
      </w:r>
    </w:p>
    <w:p w14:paraId="1570BB7F" w14:textId="77777777" w:rsidR="00D44179" w:rsidRPr="00BE2B19" w:rsidRDefault="00D44179" w:rsidP="00D44179">
      <w:pPr>
        <w:pStyle w:val="rovezanadpis"/>
        <w:ind w:left="709" w:hanging="709"/>
      </w:pPr>
      <w:r w:rsidRPr="00BE2B19">
        <w:t>Za podstatné porušení smlouvy dle § 2002 a násl. občanského zákoníku, při kterém je druhá strana oprávněna odstoupit od smlouvy, se považuje zejména:</w:t>
      </w:r>
    </w:p>
    <w:p w14:paraId="20D5C0DE" w14:textId="77777777" w:rsidR="00D44179" w:rsidRPr="00D91290" w:rsidRDefault="00D44179" w:rsidP="00D44179">
      <w:pPr>
        <w:pStyle w:val="Psmena"/>
        <w:numPr>
          <w:ilvl w:val="3"/>
          <w:numId w:val="3"/>
        </w:numPr>
        <w:ind w:left="709"/>
      </w:pPr>
      <w:r w:rsidRPr="00D91290">
        <w:t xml:space="preserve">prodlení </w:t>
      </w:r>
      <w:r>
        <w:t>prodávajícího</w:t>
      </w:r>
      <w:r w:rsidRPr="00D91290">
        <w:t xml:space="preserve"> </w:t>
      </w:r>
      <w:r>
        <w:t>s plněním</w:t>
      </w:r>
      <w:r w:rsidRPr="00D91290">
        <w:t xml:space="preserve"> o více než 30 dnů</w:t>
      </w:r>
      <w:r>
        <w:t>,</w:t>
      </w:r>
    </w:p>
    <w:p w14:paraId="64E369A4" w14:textId="77777777" w:rsidR="002D09F9" w:rsidRDefault="002D09F9" w:rsidP="00D44179">
      <w:pPr>
        <w:pStyle w:val="Psmena"/>
      </w:pPr>
      <w:bookmarkStart w:id="21" w:name="_Hlk48344412"/>
      <w:r w:rsidRPr="00D91290">
        <w:t xml:space="preserve">úpadek </w:t>
      </w:r>
      <w:r>
        <w:t>kupujícího či prodávajícího</w:t>
      </w:r>
      <w:bookmarkEnd w:id="21"/>
      <w:r w:rsidRPr="00D91290">
        <w:t xml:space="preserve"> ve smyslu zák. č. 182/2006 Sb., insolvenčního zákona</w:t>
      </w:r>
      <w:r>
        <w:t>, ve znění pozdějších předpisů,</w:t>
      </w:r>
    </w:p>
    <w:p w14:paraId="0C8ABC2D" w14:textId="77777777" w:rsidR="001E255C" w:rsidRDefault="001E255C" w:rsidP="00D44179">
      <w:pPr>
        <w:pStyle w:val="Psmena"/>
      </w:pPr>
      <w:r>
        <w:t>neodstranitelné vady dodávky,</w:t>
      </w:r>
    </w:p>
    <w:p w14:paraId="4354D44C" w14:textId="4161D1C1" w:rsidR="00D44179" w:rsidRPr="00D91290" w:rsidRDefault="001E255C" w:rsidP="00D44179">
      <w:pPr>
        <w:pStyle w:val="Psmena"/>
      </w:pPr>
      <w:r w:rsidRPr="00917AC8">
        <w:t>nedodržování</w:t>
      </w:r>
      <w:r>
        <w:t xml:space="preserve"> povinnosti stanovené v odst. 4.8</w:t>
      </w:r>
      <w:r w:rsidRPr="00917AC8">
        <w:t>. této smlouvy</w:t>
      </w:r>
      <w:r w:rsidR="00D44179">
        <w:t>.</w:t>
      </w:r>
    </w:p>
    <w:p w14:paraId="286144AC" w14:textId="77777777" w:rsidR="00D44179" w:rsidRPr="00BE2B19" w:rsidRDefault="00D44179" w:rsidP="00D44179">
      <w:pPr>
        <w:pStyle w:val="rovezanadpis"/>
        <w:ind w:left="709" w:hanging="709"/>
      </w:pPr>
      <w:r w:rsidRPr="00BE2B19">
        <w:t>Účinky odstoupení od smlouvy nastávají dnem doručení oznámení o odstoupení druhé straně smlouvy.</w:t>
      </w:r>
    </w:p>
    <w:p w14:paraId="369444E4" w14:textId="77777777" w:rsidR="00D44179" w:rsidRPr="00BE2B19" w:rsidRDefault="00D44179" w:rsidP="00D44179">
      <w:pPr>
        <w:pStyle w:val="rovezanadpis"/>
        <w:ind w:left="709" w:hanging="709"/>
      </w:pPr>
      <w:r w:rsidRPr="00BE2B19">
        <w:t>Tuto smlouvu je</w:t>
      </w:r>
      <w:r>
        <w:t xml:space="preserve"> rovněž</w:t>
      </w:r>
      <w:r w:rsidRPr="00BE2B19">
        <w:t xml:space="preserve"> možno ukončit písemnou dohodou smluvních stran.</w:t>
      </w:r>
    </w:p>
    <w:p w14:paraId="7123A076" w14:textId="77777777" w:rsidR="00D44179" w:rsidRPr="00BE2B19" w:rsidRDefault="00D44179" w:rsidP="00D44179">
      <w:pPr>
        <w:pStyle w:val="Nadpis1"/>
      </w:pPr>
      <w:r w:rsidRPr="00D91290">
        <w:t>Závěrečná</w:t>
      </w:r>
      <w:r w:rsidRPr="00BE2B19">
        <w:t xml:space="preserve"> ustanovení</w:t>
      </w:r>
    </w:p>
    <w:bookmarkEnd w:id="0"/>
    <w:p w14:paraId="7ECFD390" w14:textId="77777777" w:rsidR="00155A89" w:rsidRPr="00BE2B19" w:rsidRDefault="00155A89" w:rsidP="000E0945">
      <w:pPr>
        <w:pStyle w:val="rovezanadpis"/>
        <w:ind w:left="709" w:hanging="709"/>
      </w:pPr>
      <w:r w:rsidRPr="00BE2B19">
        <w:t xml:space="preserve">Veškerá jednání </w:t>
      </w:r>
      <w:r>
        <w:t xml:space="preserve">při realizaci smlouvy </w:t>
      </w:r>
      <w:r w:rsidRPr="00BE2B19">
        <w:t xml:space="preserve">budou probíhat v českém jazyce. </w:t>
      </w:r>
    </w:p>
    <w:p w14:paraId="05F42F88" w14:textId="77777777" w:rsidR="00155A89" w:rsidRPr="00BE2B19" w:rsidRDefault="00155A89" w:rsidP="000E0945">
      <w:pPr>
        <w:pStyle w:val="rovezanadpis"/>
        <w:ind w:left="709" w:hanging="709"/>
      </w:pPr>
      <w:r w:rsidRPr="00BE2B19">
        <w:t>Tuto smlouvu lze měnit pouze číslovanými dodatky, podepsanými oběma smluvními stranami.</w:t>
      </w:r>
    </w:p>
    <w:p w14:paraId="03D01D65" w14:textId="77777777" w:rsidR="00155A89" w:rsidRDefault="00155A89" w:rsidP="000E0945">
      <w:pPr>
        <w:pStyle w:val="rovezanadpis"/>
        <w:tabs>
          <w:tab w:val="clear" w:pos="1021"/>
          <w:tab w:val="left" w:pos="851"/>
        </w:tabs>
        <w:ind w:left="709" w:hanging="709"/>
      </w:pPr>
      <w:r>
        <w:t>Prodávající</w:t>
      </w:r>
      <w:r w:rsidRPr="00DB162D">
        <w:t xml:space="preserve"> není oprávněn bez souhlasu </w:t>
      </w:r>
      <w:r>
        <w:t>kupujícího</w:t>
      </w:r>
      <w:r w:rsidRPr="00DB162D">
        <w:t xml:space="preserve"> postoupit práva a povinnosti vyplývající z této smlouvy třetí osobě.</w:t>
      </w:r>
    </w:p>
    <w:p w14:paraId="62046CE1" w14:textId="77777777" w:rsidR="00155A89" w:rsidRPr="00BE2B19" w:rsidRDefault="00155A89" w:rsidP="000E0945">
      <w:pPr>
        <w:pStyle w:val="rovezanadpis"/>
        <w:ind w:left="709" w:hanging="709"/>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ED1CEA0" w14:textId="77777777" w:rsidR="00155A89" w:rsidRPr="00BE2B19" w:rsidRDefault="00155A89" w:rsidP="000E0945">
      <w:pPr>
        <w:pStyle w:val="rovezanadpis"/>
        <w:ind w:left="709" w:hanging="709"/>
      </w:pPr>
      <w:r w:rsidRPr="00BE2B19">
        <w:lastRenderedPageBreak/>
        <w:t>V případě, že některá ze smluvních stran odmítne převzít písemnost nebo její převzetí znemožní, se má za to, že písemnost byla doručena</w:t>
      </w:r>
      <w:r>
        <w:t xml:space="preserve"> okamžikem tohoto odmítnutí nebo znemožnění převzetí</w:t>
      </w:r>
      <w:r w:rsidRPr="00BE2B19">
        <w:t>.</w:t>
      </w:r>
    </w:p>
    <w:p w14:paraId="31F0B6A1" w14:textId="77777777" w:rsidR="00155A89" w:rsidRPr="00BE2B19" w:rsidRDefault="00155A89" w:rsidP="000E0945">
      <w:pPr>
        <w:pStyle w:val="rovezanadpis"/>
        <w:ind w:left="709" w:hanging="709"/>
      </w:pPr>
      <w:r w:rsidRPr="00BE2B19">
        <w:t>Smlouva se řídí českým právním řádem. Obě strany se dohodly, že pro neupravené vztahy plynoucí z této smlouvy platí příslušná ustanovení občanského zákoníku</w:t>
      </w:r>
      <w:r>
        <w:t>.</w:t>
      </w:r>
    </w:p>
    <w:p w14:paraId="7A9B048B" w14:textId="77777777" w:rsidR="00155A89" w:rsidRPr="00BE2B19" w:rsidRDefault="00155A89" w:rsidP="000E0945">
      <w:pPr>
        <w:pStyle w:val="rovezanadpis"/>
        <w:ind w:left="709" w:hanging="709"/>
      </w:pPr>
      <w:r w:rsidRPr="00BE2B19">
        <w:t xml:space="preserve">Osoby podepisující tuto smlouvu svým podpisem stvrzují platnost svého oprávnění </w:t>
      </w:r>
      <w:r>
        <w:t>zastupovat</w:t>
      </w:r>
      <w:r w:rsidRPr="00BE2B19">
        <w:t xml:space="preserve"> smluvní stranu.</w:t>
      </w:r>
    </w:p>
    <w:p w14:paraId="280A4255" w14:textId="77777777" w:rsidR="00155A89" w:rsidRDefault="00155A89" w:rsidP="000E0945">
      <w:pPr>
        <w:pStyle w:val="rovezanadpis"/>
        <w:ind w:left="709" w:hanging="709"/>
      </w:pPr>
      <w:r w:rsidRPr="00BE2B19">
        <w:t>Smluvní strany se dohodly, že případné spory budou přednostně řešeny dohodou. V případě, že nedojde k dohodě stran, bude spor řešen věcně příslušným soudem</w:t>
      </w:r>
      <w:r>
        <w:t xml:space="preserve"> v místě sídla kupujícího</w:t>
      </w:r>
      <w:r w:rsidRPr="00BE2B19">
        <w:t>.</w:t>
      </w:r>
    </w:p>
    <w:p w14:paraId="2C9F77D8" w14:textId="77777777" w:rsidR="00155A89" w:rsidRDefault="00155A89" w:rsidP="000E0945">
      <w:pPr>
        <w:pStyle w:val="rovezanadpis"/>
        <w:ind w:left="709" w:hanging="709"/>
      </w:pPr>
      <w:r>
        <w:t xml:space="preserve">Platnost a účinnost této smlouvy nastává připojením platného uznávaného elektronického podpisu podle zákona č. 297/2016 Sb., o službách vytvářejících důvěru pro elektronické transakce, ve znění pozdějších předpisů, obou smluvních stran do této smlouvy. </w:t>
      </w:r>
    </w:p>
    <w:p w14:paraId="7CC55F73" w14:textId="77777777" w:rsidR="00155A89" w:rsidRDefault="00155A89" w:rsidP="000E0945">
      <w:pPr>
        <w:pStyle w:val="rovezanadpis"/>
        <w:ind w:left="709" w:hanging="709"/>
      </w:pPr>
      <w:r>
        <w:t>Plnění předmětu této smlouvy před její účinností se považuje za plnění podle této smlouvy a práva a povinnosti z něj vzniklé se řídí touto smlouvou.</w:t>
      </w:r>
    </w:p>
    <w:p w14:paraId="3AEBB1A5" w14:textId="77777777" w:rsidR="00155A89" w:rsidRDefault="00155A89" w:rsidP="000E0945">
      <w:pPr>
        <w:pStyle w:val="rovezanadpis"/>
        <w:ind w:left="709" w:hanging="709"/>
      </w:pPr>
      <w:r w:rsidRPr="00BE2B19">
        <w:t xml:space="preserve">Smluvní strany prohlašují, že žádná informace uvedená v této smlouvě není </w:t>
      </w:r>
      <w:r w:rsidRPr="00196699">
        <w:t>předmětem obchodního tajemství ve smyslu § 504 občanského zákoníku. Tato smlouva bude uveřejněna v souladu s platnými právními předpisy.</w:t>
      </w:r>
    </w:p>
    <w:p w14:paraId="7F0ACBF2" w14:textId="77777777" w:rsidR="00155A89" w:rsidRPr="00596FD2" w:rsidRDefault="00155A89" w:rsidP="000E0945">
      <w:pPr>
        <w:pStyle w:val="rovezanadpis"/>
        <w:ind w:left="709" w:hanging="709"/>
      </w:pPr>
      <w:r w:rsidRPr="00596FD2">
        <w:t>Prodávající se zavazuje, že v souladu s § 2 písm. e) zákona č. 320/2001 Sb., o finanční kontrole je osobou povinnou spolupůsobit při výkonu finanční kontroly.</w:t>
      </w:r>
    </w:p>
    <w:p w14:paraId="5C3F0E47" w14:textId="77777777" w:rsidR="00155A89" w:rsidRPr="005E19A8" w:rsidRDefault="00155A89" w:rsidP="000E0945">
      <w:pPr>
        <w:pStyle w:val="rovezanadpis"/>
        <w:ind w:left="709" w:hanging="709"/>
      </w:pPr>
      <w:r w:rsidRPr="005E19A8">
        <w:t>Obě strany smlouvy prohlašují, že si smlouvu přečetly, s jejím obsahem souhlasí a že byla sepsána na základě jejich pravé a svobodné vůle, prosté omylů.</w:t>
      </w:r>
    </w:p>
    <w:p w14:paraId="7A13B44C" w14:textId="77777777" w:rsidR="00155A89" w:rsidRDefault="00155A89" w:rsidP="000E0945">
      <w:pPr>
        <w:pStyle w:val="rovezanadpis"/>
        <w:tabs>
          <w:tab w:val="clear" w:pos="1021"/>
          <w:tab w:val="left" w:pos="851"/>
        </w:tabs>
        <w:ind w:left="709" w:hanging="709"/>
      </w:pPr>
      <w:r w:rsidRPr="008B51A6">
        <w:t>Tato smlouva je vyhotovena v</w:t>
      </w:r>
      <w:r>
        <w:t> </w:t>
      </w:r>
      <w:r w:rsidRPr="008B51A6">
        <w:t>elektronické</w:t>
      </w:r>
      <w:r>
        <w:t>m originále.</w:t>
      </w:r>
    </w:p>
    <w:p w14:paraId="60F8C723" w14:textId="77777777" w:rsidR="00155A89" w:rsidRDefault="00155A89" w:rsidP="000E0945">
      <w:pPr>
        <w:pStyle w:val="rovezanadpis"/>
        <w:tabs>
          <w:tab w:val="left" w:pos="851"/>
        </w:tabs>
        <w:ind w:left="709" w:hanging="709"/>
      </w:pPr>
      <w:r w:rsidRPr="005E19A8">
        <w:t>Nedílnou součástí této smlouvy je příloha:</w:t>
      </w:r>
    </w:p>
    <w:p w14:paraId="42FC698C" w14:textId="77777777" w:rsidR="00155A89" w:rsidRDefault="00155A89" w:rsidP="000E0945">
      <w:pPr>
        <w:pStyle w:val="rovezanadpis"/>
        <w:numPr>
          <w:ilvl w:val="0"/>
          <w:numId w:val="0"/>
        </w:numPr>
        <w:ind w:left="709"/>
      </w:pPr>
      <w:r>
        <w:t xml:space="preserve">Příloha č. 1 – </w:t>
      </w:r>
      <w:r w:rsidRPr="005825F7">
        <w:t>Položkový rozpočet</w:t>
      </w:r>
      <w:r>
        <w:t xml:space="preserve"> včetně specifikace</w:t>
      </w:r>
    </w:p>
    <w:p w14:paraId="686A05E9" w14:textId="590A29CB" w:rsidR="00155A89" w:rsidRPr="00230675" w:rsidRDefault="00155A89" w:rsidP="00155A89">
      <w:pPr>
        <w:pStyle w:val="Nadpis1"/>
        <w:pBdr>
          <w:top w:val="single" w:sz="12" w:space="1" w:color="808080" w:shadow="1"/>
          <w:left w:val="single" w:sz="12" w:space="4" w:color="808080" w:shadow="1"/>
          <w:bottom w:val="single" w:sz="12" w:space="1" w:color="808080" w:shadow="1"/>
          <w:right w:val="single" w:sz="12" w:space="4" w:color="808080" w:shadow="1"/>
        </w:pBdr>
        <w:spacing w:before="240" w:after="0" w:line="240" w:lineRule="auto"/>
        <w:jc w:val="both"/>
      </w:pPr>
      <w:bookmarkStart w:id="22" w:name="_Hlk57011857"/>
      <w:r w:rsidRPr="00CD0D3C">
        <w:t xml:space="preserve">Doložka schválení </w:t>
      </w:r>
      <w:r>
        <w:t>po</w:t>
      </w:r>
      <w:r w:rsidRPr="00CD0D3C">
        <w:t xml:space="preserve">dle § </w:t>
      </w:r>
      <w:r w:rsidR="00607F09">
        <w:t>43</w:t>
      </w:r>
      <w:r w:rsidR="00827B5C">
        <w:t xml:space="preserve"> zákona č. 131/2000 Sb.</w:t>
      </w:r>
      <w:r w:rsidR="00607F09">
        <w:t>, o hlavním městě Praze</w:t>
      </w:r>
      <w:r>
        <w:t>, ve znění pozdějších předpisů</w:t>
      </w:r>
      <w:bookmarkEnd w:id="22"/>
    </w:p>
    <w:p w14:paraId="4671A49E" w14:textId="77777777" w:rsidR="002F4A14" w:rsidRDefault="00155A89" w:rsidP="000E0945">
      <w:pPr>
        <w:pStyle w:val="rovezanadpis"/>
        <w:tabs>
          <w:tab w:val="clear" w:pos="1021"/>
        </w:tabs>
        <w:spacing w:before="120" w:after="0" w:line="240" w:lineRule="auto"/>
        <w:ind w:left="709" w:hanging="709"/>
      </w:pPr>
      <w:r>
        <w:t xml:space="preserve">Uzavření této smlouvy bylo schváleno </w:t>
      </w:r>
      <w:r w:rsidRPr="008F5FAD">
        <w:t>Radou městské části Praha 14</w:t>
      </w:r>
      <w:r>
        <w:t xml:space="preserve"> dne </w:t>
      </w:r>
      <w:r w:rsidRPr="00094674">
        <w:t>[</w:t>
      </w:r>
      <w:r w:rsidRPr="00094674">
        <w:rPr>
          <w:highlight w:val="yellow"/>
        </w:rPr>
        <w:t>k</w:t>
      </w:r>
      <w:r w:rsidRPr="00754A93">
        <w:rPr>
          <w:highlight w:val="yellow"/>
        </w:rPr>
        <w:t xml:space="preserve"> doplnění</w:t>
      </w:r>
      <w:r w:rsidRPr="00094674">
        <w:t>]</w:t>
      </w:r>
      <w:r>
        <w:t xml:space="preserve"> 2020, usnesením </w:t>
      </w:r>
      <w:r w:rsidRPr="00094674">
        <w:t>[</w:t>
      </w:r>
      <w:r w:rsidRPr="00094674">
        <w:rPr>
          <w:highlight w:val="yellow"/>
        </w:rPr>
        <w:t>k</w:t>
      </w:r>
      <w:r w:rsidRPr="00754A93">
        <w:rPr>
          <w:highlight w:val="yellow"/>
        </w:rPr>
        <w:t xml:space="preserve"> doplnění</w:t>
      </w:r>
      <w:r w:rsidRPr="00094674">
        <w:t>]</w:t>
      </w:r>
      <w:r w:rsidRPr="00230675">
        <w:t>.</w:t>
      </w:r>
    </w:p>
    <w:p w14:paraId="10C52D99" w14:textId="77777777" w:rsidR="002F4A14" w:rsidRDefault="002F4A14" w:rsidP="002F4A14">
      <w:pPr>
        <w:pStyle w:val="rovezanadpis"/>
        <w:numPr>
          <w:ilvl w:val="0"/>
          <w:numId w:val="0"/>
        </w:numPr>
        <w:tabs>
          <w:tab w:val="clear" w:pos="1021"/>
          <w:tab w:val="left" w:pos="851"/>
        </w:tabs>
        <w:spacing w:before="120" w:after="0" w:line="240" w:lineRule="auto"/>
        <w:ind w:left="851"/>
      </w:pPr>
      <w:bookmarkStart w:id="23" w:name="_Hlk48344618"/>
    </w:p>
    <w:p w14:paraId="77730525" w14:textId="77777777" w:rsidR="002F4A14" w:rsidRDefault="002F4A14" w:rsidP="002F4A14">
      <w:pPr>
        <w:pStyle w:val="rovezanadpis"/>
        <w:numPr>
          <w:ilvl w:val="0"/>
          <w:numId w:val="0"/>
        </w:numPr>
        <w:tabs>
          <w:tab w:val="clear" w:pos="1021"/>
          <w:tab w:val="left" w:pos="851"/>
        </w:tabs>
        <w:spacing w:before="120" w:after="0" w:line="240" w:lineRule="auto"/>
        <w:ind w:left="851"/>
      </w:pPr>
    </w:p>
    <w:p w14:paraId="12994FFC" w14:textId="77777777" w:rsidR="002F4A14" w:rsidRPr="00230675" w:rsidRDefault="002F4A14" w:rsidP="002F4A14">
      <w:pPr>
        <w:pStyle w:val="rovezanadpis"/>
        <w:numPr>
          <w:ilvl w:val="0"/>
          <w:numId w:val="0"/>
        </w:numPr>
        <w:tabs>
          <w:tab w:val="clear" w:pos="1021"/>
          <w:tab w:val="left" w:pos="851"/>
        </w:tabs>
        <w:spacing w:before="120" w:after="0" w:line="240" w:lineRule="auto"/>
        <w:ind w:left="851"/>
      </w:pPr>
    </w:p>
    <w:tbl>
      <w:tblPr>
        <w:tblW w:w="0" w:type="auto"/>
        <w:tblInd w:w="2" w:type="dxa"/>
        <w:tblLook w:val="00A0" w:firstRow="1" w:lastRow="0" w:firstColumn="1" w:lastColumn="0" w:noHBand="0" w:noVBand="0"/>
      </w:tblPr>
      <w:tblGrid>
        <w:gridCol w:w="4535"/>
        <w:gridCol w:w="4535"/>
      </w:tblGrid>
      <w:tr w:rsidR="00155A89" w:rsidRPr="00754A93" w14:paraId="5445694F" w14:textId="77777777" w:rsidTr="00156BD6">
        <w:tc>
          <w:tcPr>
            <w:tcW w:w="4606" w:type="dxa"/>
          </w:tcPr>
          <w:bookmarkEnd w:id="1"/>
          <w:bookmarkEnd w:id="23"/>
          <w:p w14:paraId="1E9E2D9F" w14:textId="77777777" w:rsidR="00155A89" w:rsidRPr="00754A93" w:rsidRDefault="00155A89" w:rsidP="00156BD6">
            <w:pPr>
              <w:keepNext/>
              <w:rPr>
                <w:rFonts w:ascii="Arial" w:hAnsi="Arial" w:cs="Arial"/>
              </w:rPr>
            </w:pPr>
            <w:r w:rsidRPr="00754A93">
              <w:rPr>
                <w:rFonts w:ascii="Arial" w:hAnsi="Arial" w:cs="Arial"/>
              </w:rPr>
              <w:t>V </w:t>
            </w:r>
            <w:r>
              <w:rPr>
                <w:rFonts w:ascii="Arial" w:hAnsi="Arial" w:cs="Arial"/>
              </w:rPr>
              <w:t>Praze</w:t>
            </w:r>
            <w:r w:rsidRPr="00754A93">
              <w:rPr>
                <w:rFonts w:ascii="Arial" w:hAnsi="Arial" w:cs="Arial"/>
              </w:rPr>
              <w:t xml:space="preserve"> dne __. __. 2020</w:t>
            </w:r>
          </w:p>
        </w:tc>
        <w:tc>
          <w:tcPr>
            <w:tcW w:w="4606" w:type="dxa"/>
          </w:tcPr>
          <w:p w14:paraId="3548F3A5" w14:textId="77777777" w:rsidR="00155A89" w:rsidRDefault="00155A89" w:rsidP="00156BD6">
            <w:pPr>
              <w:keepNext/>
              <w:rPr>
                <w:rFonts w:ascii="Arial" w:hAnsi="Arial" w:cs="Arial"/>
              </w:rPr>
            </w:pPr>
            <w:r w:rsidRPr="00754A93">
              <w:rPr>
                <w:rFonts w:ascii="Arial" w:hAnsi="Arial" w:cs="Arial"/>
              </w:rPr>
              <w:t>V _________ dne __. __. 2020</w:t>
            </w:r>
          </w:p>
          <w:p w14:paraId="4AB7D456" w14:textId="77777777" w:rsidR="00155A89" w:rsidRDefault="00155A89" w:rsidP="00156BD6">
            <w:pPr>
              <w:keepNext/>
              <w:rPr>
                <w:rFonts w:ascii="Arial" w:hAnsi="Arial" w:cs="Arial"/>
              </w:rPr>
            </w:pPr>
          </w:p>
          <w:p w14:paraId="0959C774" w14:textId="77777777" w:rsidR="00155A89" w:rsidRPr="00754A93" w:rsidRDefault="00155A89" w:rsidP="00156BD6">
            <w:pPr>
              <w:keepNext/>
              <w:rPr>
                <w:rFonts w:ascii="Arial" w:hAnsi="Arial" w:cs="Arial"/>
              </w:rPr>
            </w:pPr>
          </w:p>
        </w:tc>
      </w:tr>
      <w:tr w:rsidR="00155A89" w:rsidRPr="00754A93" w14:paraId="6C44C06C" w14:textId="77777777" w:rsidTr="00156BD6">
        <w:tc>
          <w:tcPr>
            <w:tcW w:w="4606" w:type="dxa"/>
          </w:tcPr>
          <w:p w14:paraId="05E5D013" w14:textId="77777777" w:rsidR="00155A89" w:rsidRPr="00754A93" w:rsidRDefault="00155A89" w:rsidP="00156BD6">
            <w:pPr>
              <w:keepNext/>
              <w:spacing w:after="0"/>
              <w:rPr>
                <w:rFonts w:ascii="Arial" w:hAnsi="Arial" w:cs="Arial"/>
              </w:rPr>
            </w:pPr>
            <w:r w:rsidRPr="00754A93">
              <w:rPr>
                <w:rFonts w:ascii="Arial" w:hAnsi="Arial" w:cs="Arial"/>
              </w:rPr>
              <w:t>______________________</w:t>
            </w:r>
          </w:p>
          <w:p w14:paraId="5C6C0A3E" w14:textId="77777777" w:rsidR="00155A89" w:rsidRPr="00754A93" w:rsidRDefault="00155A89" w:rsidP="00156BD6">
            <w:pPr>
              <w:keepNext/>
              <w:spacing w:after="0"/>
              <w:rPr>
                <w:rFonts w:ascii="Arial" w:hAnsi="Arial" w:cs="Arial"/>
              </w:rPr>
            </w:pPr>
            <w:r>
              <w:rPr>
                <w:rFonts w:ascii="Arial" w:hAnsi="Arial" w:cs="Arial"/>
              </w:rPr>
              <w:t>kupující</w:t>
            </w:r>
          </w:p>
        </w:tc>
        <w:tc>
          <w:tcPr>
            <w:tcW w:w="4606" w:type="dxa"/>
          </w:tcPr>
          <w:p w14:paraId="37D1E635" w14:textId="77777777" w:rsidR="00155A89" w:rsidRPr="00754A93" w:rsidRDefault="00155A89" w:rsidP="00156BD6">
            <w:pPr>
              <w:keepNext/>
              <w:spacing w:after="0"/>
              <w:rPr>
                <w:rFonts w:ascii="Arial" w:hAnsi="Arial" w:cs="Arial"/>
              </w:rPr>
            </w:pPr>
            <w:r w:rsidRPr="00754A93">
              <w:rPr>
                <w:rFonts w:ascii="Arial" w:hAnsi="Arial" w:cs="Arial"/>
              </w:rPr>
              <w:t>______________________</w:t>
            </w:r>
          </w:p>
          <w:p w14:paraId="0A79587F" w14:textId="77777777" w:rsidR="00155A89" w:rsidRPr="00754A93" w:rsidRDefault="00155A89" w:rsidP="00156BD6">
            <w:pPr>
              <w:keepNext/>
              <w:spacing w:after="0"/>
              <w:rPr>
                <w:rFonts w:ascii="Arial" w:hAnsi="Arial" w:cs="Arial"/>
              </w:rPr>
            </w:pPr>
            <w:r>
              <w:rPr>
                <w:rFonts w:ascii="Arial" w:hAnsi="Arial" w:cs="Arial"/>
              </w:rPr>
              <w:t>prodávající</w:t>
            </w:r>
          </w:p>
        </w:tc>
      </w:tr>
    </w:tbl>
    <w:p w14:paraId="2496E998" w14:textId="77777777" w:rsidR="00D60ED8" w:rsidRDefault="00D60ED8"/>
    <w:sectPr w:rsidR="00D60ED8" w:rsidSect="0030626A">
      <w:headerReference w:type="default" r:id="rId7"/>
      <w:footerReference w:type="default" r:id="rId8"/>
      <w:headerReference w:type="first" r:id="rId9"/>
      <w:footerReference w:type="first" r:id="rId10"/>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E38CB" w14:textId="77777777" w:rsidR="00846375" w:rsidRDefault="00846375" w:rsidP="00D44179">
      <w:pPr>
        <w:spacing w:after="0" w:line="240" w:lineRule="auto"/>
      </w:pPr>
      <w:r>
        <w:separator/>
      </w:r>
    </w:p>
  </w:endnote>
  <w:endnote w:type="continuationSeparator" w:id="0">
    <w:p w14:paraId="525C7F95" w14:textId="77777777" w:rsidR="00846375" w:rsidRDefault="00846375" w:rsidP="00D4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30F9" w14:textId="77777777" w:rsidR="00800A80" w:rsidRPr="00E2124F" w:rsidRDefault="002F4A14"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Pr>
        <w:rFonts w:ascii="Arial" w:eastAsia="Calibri" w:hAnsi="Arial" w:cs="Arial"/>
        <w:noProof/>
        <w:sz w:val="18"/>
        <w:szCs w:val="18"/>
        <w:lang w:val="en-US"/>
      </w:rPr>
      <w:t>8</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Pr="008E238A">
      <w:rPr>
        <w:rFonts w:ascii="Arial" w:eastAsia="Calibri" w:hAnsi="Arial" w:cs="Arial"/>
        <w:noProof/>
        <w:sz w:val="18"/>
        <w:szCs w:val="18"/>
        <w:lang w:val="en-US"/>
      </w:rPr>
      <w:t>8</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5BBD" w14:textId="77777777" w:rsidR="00800A80" w:rsidRDefault="00827B5C"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F96A" w14:textId="77777777" w:rsidR="00846375" w:rsidRDefault="00846375" w:rsidP="00D44179">
      <w:pPr>
        <w:spacing w:after="0" w:line="240" w:lineRule="auto"/>
      </w:pPr>
      <w:r>
        <w:separator/>
      </w:r>
    </w:p>
  </w:footnote>
  <w:footnote w:type="continuationSeparator" w:id="0">
    <w:p w14:paraId="59C64D2C" w14:textId="77777777" w:rsidR="00846375" w:rsidRDefault="00846375" w:rsidP="00D4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05D2" w14:textId="5EF5BAFA" w:rsidR="00800A80" w:rsidRPr="00D543D3" w:rsidRDefault="002F4A14" w:rsidP="006255AD">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 xml:space="preserve">Kupní </w:t>
    </w:r>
    <w:r w:rsidRPr="0030626A">
      <w:rPr>
        <w:rFonts w:ascii="Arial" w:eastAsia="Calibri" w:hAnsi="Arial" w:cs="Arial"/>
        <w:sz w:val="20"/>
        <w:szCs w:val="20"/>
      </w:rPr>
      <w:t>smlouva „</w:t>
    </w:r>
    <w:r w:rsidR="0030626A" w:rsidRPr="0030626A">
      <w:rPr>
        <w:rFonts w:ascii="Arial" w:eastAsia="Calibri" w:hAnsi="Arial" w:cs="Arial"/>
        <w:sz w:val="20"/>
        <w:szCs w:val="20"/>
      </w:rPr>
      <w:t>Vybudování odborných učeben na základních školách</w:t>
    </w:r>
    <w:r w:rsidR="00613A20">
      <w:rPr>
        <w:rFonts w:ascii="Arial" w:eastAsia="Calibri" w:hAnsi="Arial" w:cs="Arial"/>
        <w:sz w:val="20"/>
        <w:szCs w:val="20"/>
      </w:rPr>
      <w:t xml:space="preserve"> – opakované řízení</w:t>
    </w:r>
    <w:r w:rsidRPr="0030626A">
      <w:rPr>
        <w:rFonts w:ascii="Arial" w:eastAsia="Calibri" w:hAnsi="Arial" w:cs="Arial"/>
        <w:sz w:val="20"/>
        <w:szCs w:val="20"/>
      </w:rPr>
      <w:t>“</w:t>
    </w:r>
    <w:r>
      <w:rPr>
        <w:rFonts w:ascii="Arial" w:eastAsia="Calibri"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1E28" w14:textId="77777777" w:rsidR="00800A80" w:rsidRPr="001D58C7" w:rsidRDefault="00D44179" w:rsidP="006A1F82">
    <w:pPr>
      <w:pStyle w:val="Zhlav"/>
      <w:tabs>
        <w:tab w:val="clear" w:pos="4536"/>
        <w:tab w:val="clear" w:pos="9072"/>
        <w:tab w:val="left" w:pos="7350"/>
      </w:tabs>
    </w:pPr>
    <w:r w:rsidRPr="00300562">
      <w:rPr>
        <w:b/>
        <w:noProof/>
        <w:sz w:val="40"/>
        <w:szCs w:val="40"/>
      </w:rPr>
      <w:drawing>
        <wp:anchor distT="0" distB="0" distL="114300" distR="114300" simplePos="0" relativeHeight="251659264" behindDoc="0" locked="0" layoutInCell="1" allowOverlap="1" wp14:anchorId="1850F400" wp14:editId="42ED147A">
          <wp:simplePos x="0" y="0"/>
          <wp:positionH relativeFrom="margin">
            <wp:align>center</wp:align>
          </wp:positionH>
          <wp:positionV relativeFrom="paragraph">
            <wp:posOffset>-581660</wp:posOffset>
          </wp:positionV>
          <wp:extent cx="4608000" cy="1152000"/>
          <wp:effectExtent l="0" t="0" r="254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5fa913_logolink.jpg"/>
                  <pic:cNvPicPr/>
                </pic:nvPicPr>
                <pic:blipFill>
                  <a:blip r:embed="rId1">
                    <a:extLst>
                      <a:ext uri="{28A0092B-C50C-407E-A947-70E740481C1C}">
                        <a14:useLocalDpi xmlns:a14="http://schemas.microsoft.com/office/drawing/2010/main" val="0"/>
                      </a:ext>
                    </a:extLst>
                  </a:blip>
                  <a:stretch>
                    <a:fillRect/>
                  </a:stretch>
                </pic:blipFill>
                <pic:spPr>
                  <a:xfrm>
                    <a:off x="0" y="0"/>
                    <a:ext cx="4608000" cy="115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5F8D"/>
    <w:multiLevelType w:val="multilevel"/>
    <w:tmpl w:val="CAC6836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380B54"/>
    <w:multiLevelType w:val="multilevel"/>
    <w:tmpl w:val="95E61FA2"/>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851"/>
      </w:pPr>
      <w:rPr>
        <w:rFonts w:hint="default"/>
        <w:b w:val="0"/>
      </w:rPr>
    </w:lvl>
    <w:lvl w:ilvl="2">
      <w:start w:val="1"/>
      <w:numFmt w:val="decimal"/>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EA2939"/>
    <w:multiLevelType w:val="multilevel"/>
    <w:tmpl w:val="76D8CAE0"/>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lowerLetter"/>
      <w:lvlText w:val="%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6D4234"/>
    <w:multiLevelType w:val="multilevel"/>
    <w:tmpl w:val="EB4093A0"/>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851"/>
      </w:pPr>
      <w:rPr>
        <w:rFonts w:hint="default"/>
        <w:b w:val="0"/>
      </w:rPr>
    </w:lvl>
    <w:lvl w:ilvl="2">
      <w:start w:val="1"/>
      <w:numFmt w:val="decimal"/>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79"/>
    <w:rsid w:val="000373FD"/>
    <w:rsid w:val="00091708"/>
    <w:rsid w:val="000D7C84"/>
    <w:rsid w:val="000E0945"/>
    <w:rsid w:val="000F3BC0"/>
    <w:rsid w:val="00155A89"/>
    <w:rsid w:val="001E255C"/>
    <w:rsid w:val="002310DA"/>
    <w:rsid w:val="002D09F9"/>
    <w:rsid w:val="002F4A14"/>
    <w:rsid w:val="0030626A"/>
    <w:rsid w:val="004D03FA"/>
    <w:rsid w:val="0050061D"/>
    <w:rsid w:val="00547EA6"/>
    <w:rsid w:val="005C04EE"/>
    <w:rsid w:val="00607F09"/>
    <w:rsid w:val="00613A20"/>
    <w:rsid w:val="00667265"/>
    <w:rsid w:val="006C5078"/>
    <w:rsid w:val="006E0E4D"/>
    <w:rsid w:val="007B01CB"/>
    <w:rsid w:val="00827B5C"/>
    <w:rsid w:val="00846375"/>
    <w:rsid w:val="00972F65"/>
    <w:rsid w:val="00A71CC6"/>
    <w:rsid w:val="00AD0F06"/>
    <w:rsid w:val="00B61C0C"/>
    <w:rsid w:val="00B979D4"/>
    <w:rsid w:val="00C67290"/>
    <w:rsid w:val="00CA7B60"/>
    <w:rsid w:val="00D44179"/>
    <w:rsid w:val="00D5517B"/>
    <w:rsid w:val="00D60ED8"/>
    <w:rsid w:val="00D94162"/>
    <w:rsid w:val="00E23041"/>
    <w:rsid w:val="00F136FD"/>
    <w:rsid w:val="00FB3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3C6D1"/>
  <w15:chartTrackingRefBased/>
  <w15:docId w15:val="{572C22AE-D591-48AA-A9D6-DE52E980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_Nadpis 1"/>
    <w:basedOn w:val="Normln"/>
    <w:next w:val="Styl2"/>
    <w:link w:val="Nadpis1Char"/>
    <w:uiPriority w:val="9"/>
    <w:qFormat/>
    <w:rsid w:val="00D44179"/>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line="276" w:lineRule="auto"/>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D44179"/>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D44179"/>
    <w:pPr>
      <w:numPr>
        <w:ilvl w:val="2"/>
        <w:numId w:val="1"/>
      </w:numPr>
      <w:spacing w:before="120" w:after="120" w:line="276" w:lineRule="auto"/>
      <w:jc w:val="both"/>
    </w:pPr>
    <w:rPr>
      <w:rFonts w:ascii="Arial" w:eastAsia="Calibri" w:hAnsi="Arial" w:cs="Arial"/>
      <w:lang w:eastAsia="cs-CZ"/>
    </w:rPr>
  </w:style>
  <w:style w:type="paragraph" w:styleId="Podnadpis">
    <w:name w:val="Subtitle"/>
    <w:aliases w:val="Podstyl"/>
    <w:basedOn w:val="Normln"/>
    <w:next w:val="Normln"/>
    <w:link w:val="PodnadpisChar"/>
    <w:uiPriority w:val="99"/>
    <w:qFormat/>
    <w:rsid w:val="00D44179"/>
    <w:pPr>
      <w:spacing w:before="120" w:after="120" w:line="276" w:lineRule="auto"/>
      <w:ind w:left="709"/>
      <w:jc w:val="both"/>
    </w:pPr>
    <w:rPr>
      <w:rFonts w:ascii="Arial" w:eastAsia="Calibri" w:hAnsi="Arial" w:cs="Arial"/>
    </w:rPr>
  </w:style>
  <w:style w:type="character" w:customStyle="1" w:styleId="PodnadpisChar">
    <w:name w:val="Podnadpis Char"/>
    <w:aliases w:val="Podstyl Char"/>
    <w:basedOn w:val="Standardnpsmoodstavce"/>
    <w:link w:val="Podnadpis"/>
    <w:uiPriority w:val="99"/>
    <w:rsid w:val="00D44179"/>
    <w:rPr>
      <w:rFonts w:ascii="Arial" w:eastAsia="Calibri" w:hAnsi="Arial" w:cs="Arial"/>
    </w:rPr>
  </w:style>
  <w:style w:type="paragraph" w:customStyle="1" w:styleId="Psmena">
    <w:name w:val="Písmena"/>
    <w:link w:val="PsmenaChar"/>
    <w:qFormat/>
    <w:rsid w:val="00D44179"/>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D44179"/>
    <w:rPr>
      <w:rFonts w:ascii="Arial" w:eastAsiaTheme="majorEastAsia" w:hAnsi="Arial" w:cs="Arial"/>
      <w:bCs/>
    </w:rPr>
  </w:style>
  <w:style w:type="paragraph" w:styleId="Zhlav">
    <w:name w:val="header"/>
    <w:basedOn w:val="Normln"/>
    <w:link w:val="ZhlavChar"/>
    <w:uiPriority w:val="99"/>
    <w:unhideWhenUsed/>
    <w:rsid w:val="00D44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4179"/>
  </w:style>
  <w:style w:type="paragraph" w:styleId="Zpat">
    <w:name w:val="footer"/>
    <w:basedOn w:val="Normln"/>
    <w:link w:val="ZpatChar"/>
    <w:uiPriority w:val="99"/>
    <w:unhideWhenUsed/>
    <w:rsid w:val="00D44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D44179"/>
  </w:style>
  <w:style w:type="table" w:styleId="Mkatabulky">
    <w:name w:val="Table Grid"/>
    <w:basedOn w:val="Normlntabulka"/>
    <w:uiPriority w:val="59"/>
    <w:rsid w:val="00D4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D44179"/>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D44179"/>
    <w:rPr>
      <w:rFonts w:ascii="Arial" w:eastAsia="Times New Roman" w:hAnsi="Arial" w:cs="Arial"/>
      <w:lang w:eastAsia="cs-CZ"/>
    </w:rPr>
  </w:style>
  <w:style w:type="paragraph" w:customStyle="1" w:styleId="rovezanadpis">
    <w:name w:val="Úroveň za nadpis"/>
    <w:basedOn w:val="Normln"/>
    <w:link w:val="rovezanadpisChar"/>
    <w:qFormat/>
    <w:rsid w:val="00D44179"/>
    <w:pPr>
      <w:numPr>
        <w:ilvl w:val="1"/>
        <w:numId w:val="1"/>
      </w:numPr>
      <w:tabs>
        <w:tab w:val="left" w:pos="1021"/>
      </w:tabs>
      <w:spacing w:before="60" w:after="60" w:line="276" w:lineRule="auto"/>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D44179"/>
    <w:rPr>
      <w:rFonts w:ascii="Arial" w:eastAsia="Times New Roman" w:hAnsi="Arial" w:cs="Arial"/>
      <w:color w:val="000000" w:themeColor="text1"/>
      <w:lang w:eastAsia="cs-CZ"/>
    </w:rPr>
  </w:style>
  <w:style w:type="paragraph" w:customStyle="1" w:styleId="NadpisZD">
    <w:name w:val="Nadpis ZD"/>
    <w:basedOn w:val="Obyejn"/>
    <w:link w:val="NadpisZDChar"/>
    <w:qFormat/>
    <w:rsid w:val="00D44179"/>
    <w:pPr>
      <w:spacing w:before="4000"/>
      <w:contextualSpacing/>
      <w:jc w:val="center"/>
    </w:pPr>
    <w:rPr>
      <w:rFonts w:eastAsia="Calibri"/>
      <w:b/>
      <w:sz w:val="40"/>
      <w:szCs w:val="40"/>
    </w:rPr>
  </w:style>
  <w:style w:type="paragraph" w:customStyle="1" w:styleId="Vycentrovan">
    <w:name w:val="Vycentrovaný"/>
    <w:basedOn w:val="Obyejn"/>
    <w:link w:val="VycentrovanChar"/>
    <w:uiPriority w:val="99"/>
    <w:qFormat/>
    <w:rsid w:val="00D44179"/>
    <w:pPr>
      <w:jc w:val="center"/>
    </w:pPr>
  </w:style>
  <w:style w:type="character" w:customStyle="1" w:styleId="NadpisZDChar">
    <w:name w:val="Nadpis ZD Char"/>
    <w:basedOn w:val="ObyejnChar"/>
    <w:link w:val="NadpisZD"/>
    <w:rsid w:val="00D44179"/>
    <w:rPr>
      <w:rFonts w:ascii="Arial" w:eastAsia="Calibri" w:hAnsi="Arial" w:cs="Arial"/>
      <w:b/>
      <w:sz w:val="40"/>
      <w:szCs w:val="40"/>
      <w:lang w:eastAsia="cs-CZ"/>
    </w:rPr>
  </w:style>
  <w:style w:type="character" w:customStyle="1" w:styleId="VycentrovanChar">
    <w:name w:val="Vycentrovaný Char"/>
    <w:basedOn w:val="ObyejnChar"/>
    <w:link w:val="Vycentrovan"/>
    <w:uiPriority w:val="99"/>
    <w:rsid w:val="00D44179"/>
    <w:rPr>
      <w:rFonts w:ascii="Arial" w:eastAsia="Times New Roman" w:hAnsi="Arial" w:cs="Arial"/>
      <w:lang w:eastAsia="cs-CZ"/>
    </w:rPr>
  </w:style>
  <w:style w:type="paragraph" w:styleId="Bezmezer">
    <w:name w:val="No Spacing"/>
    <w:uiPriority w:val="1"/>
    <w:qFormat/>
    <w:rsid w:val="00D44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2411</Words>
  <Characters>14230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Pavla Matějková</cp:lastModifiedBy>
  <cp:revision>11</cp:revision>
  <dcterms:created xsi:type="dcterms:W3CDTF">2020-08-14T07:39:00Z</dcterms:created>
  <dcterms:modified xsi:type="dcterms:W3CDTF">2020-11-23T07:17:00Z</dcterms:modified>
</cp:coreProperties>
</file>